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rPr>
          <w:b/>
          <w:b/>
          <w:caps/>
          <w:szCs w:val="28"/>
        </w:rPr>
      </w:pPr>
      <w:r>
        <w:rPr>
          <w:b/>
          <w:caps/>
          <w:szCs w:val="28"/>
        </w:rPr>
        <w:t>Міністерство освіти і науки України</w:t>
      </w:r>
    </w:p>
    <w:p>
      <w:pPr>
        <w:pStyle w:val="Normal"/>
        <w:jc w:val="right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>
      <w:pPr>
        <w:pStyle w:val="Normal"/>
        <w:jc w:val="center"/>
        <w:rPr/>
      </w:pPr>
      <w:r>
        <w:rPr>
          <w:b/>
          <w:sz w:val="28"/>
          <w:szCs w:val="28"/>
          <w:u w:val="single"/>
        </w:rPr>
        <w:t xml:space="preserve">Факультет </w:t>
        <w:tab/>
        <w:tab/>
        <w:tab/>
        <w:t>фізико-технічний</w:t>
        <w:tab/>
        <w:tab/>
        <w:tab/>
        <w:tab/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>
      <w:pPr>
        <w:pStyle w:val="Normal"/>
        <w:jc w:val="center"/>
        <w:rPr/>
      </w:pPr>
      <w:r>
        <w:rPr>
          <w:b/>
          <w:sz w:val="28"/>
          <w:szCs w:val="28"/>
          <w:u w:val="single"/>
        </w:rPr>
        <w:t>Кафедра</w:t>
        <w:tab/>
        <w:tab/>
        <w:t>систем автоматизованого управління</w:t>
        <w:tab/>
        <w:tab/>
        <w:tab/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u w:val="single"/>
        </w:rPr>
        <w:t>Навігаційні супутник</w:t>
      </w:r>
      <w:r>
        <w:rPr>
          <w:b/>
          <w:sz w:val="28"/>
          <w:szCs w:val="28"/>
          <w:u w:val="single"/>
        </w:rPr>
        <w:t>и</w:t>
      </w:r>
    </w:p>
    <w:p>
      <w:pPr>
        <w:pStyle w:val="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>назва навчальної дисципліни</w:t>
      </w:r>
      <w:r>
        <w:rPr>
          <w:sz w:val="16"/>
          <w:szCs w:val="16"/>
          <w:lang w:val="ru-RU"/>
        </w:rPr>
        <w:t>)</w:t>
      </w:r>
    </w:p>
    <w:p>
      <w:pPr>
        <w:pStyle w:val="1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1"/>
        <w:rPr>
          <w:sz w:val="20"/>
        </w:rPr>
      </w:pPr>
      <w:r>
        <w:rPr>
          <w:sz w:val="20"/>
        </w:rPr>
      </w:r>
    </w:p>
    <w:p>
      <w:pPr>
        <w:pStyle w:val="1"/>
        <w:rPr>
          <w:b/>
          <w:b/>
          <w:caps/>
          <w:szCs w:val="28"/>
        </w:rPr>
      </w:pPr>
      <w:r>
        <w:rPr>
          <w:b/>
          <w:caps/>
          <w:szCs w:val="28"/>
        </w:rPr>
        <w:t>Програма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 навчальної  дисципліни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рівень підготовки</w:t>
      </w:r>
      <w:r>
        <w:rPr>
          <w:b/>
          <w:sz w:val="28"/>
          <w:szCs w:val="28"/>
          <w:u w:val="single"/>
          <w:lang w:val="ru-RU"/>
        </w:rPr>
        <w:tab/>
        <w:tab/>
      </w:r>
      <w:r>
        <w:rPr>
          <w:b/>
          <w:sz w:val="28"/>
          <w:szCs w:val="28"/>
          <w:u w:val="single"/>
          <w:lang w:val="ru-RU"/>
        </w:rPr>
        <w:t>другий</w:t>
      </w:r>
      <w:r>
        <w:rPr>
          <w:b/>
          <w:sz w:val="28"/>
          <w:szCs w:val="28"/>
          <w:u w:val="single"/>
          <w:lang w:val="ru-RU"/>
        </w:rPr>
        <w:t xml:space="preserve"> (</w:t>
      </w:r>
      <w:r>
        <w:rPr>
          <w:b/>
          <w:sz w:val="28"/>
          <w:szCs w:val="28"/>
          <w:u w:val="single"/>
          <w:lang w:val="ru-RU"/>
        </w:rPr>
        <w:t>магістрський</w:t>
      </w:r>
      <w:r>
        <w:rPr>
          <w:b/>
          <w:sz w:val="28"/>
          <w:szCs w:val="28"/>
          <w:u w:val="single"/>
          <w:lang w:val="ru-RU"/>
        </w:rPr>
        <w:t>)</w:t>
        <w:tab/>
        <w:tab/>
        <w:tab/>
        <w:tab/>
      </w:r>
      <w:r>
        <w:rPr>
          <w:b/>
          <w:sz w:val="16"/>
          <w:szCs w:val="16"/>
          <w:u w:val="single"/>
        </w:rPr>
        <w:t xml:space="preserve">                            </w:t>
      </w:r>
      <w:r>
        <w:rPr>
          <w:b/>
          <w:sz w:val="16"/>
          <w:szCs w:val="16"/>
        </w:rPr>
        <w:t xml:space="preserve"> (назва освітньо-кваліфікаційного рівня)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напряму</w:t>
      </w:r>
      <w:r>
        <w:rPr>
          <w:b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спеціальності</w:t>
      </w:r>
      <w:r>
        <w:rPr>
          <w:b/>
          <w:sz w:val="28"/>
          <w:szCs w:val="28"/>
          <w:u w:val="single"/>
        </w:rPr>
        <w:tab/>
        <w:tab/>
        <w:tab/>
        <w:tab/>
        <w:t>173 Авіоніка</w:t>
        <w:tab/>
        <w:tab/>
        <w:tab/>
        <w:tab/>
        <w:tab/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</w:rPr>
        <w:t>Шифр за ОПП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  <w:u w:val="none"/>
        </w:rPr>
        <w:t>)</w:t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2017 рік</w:t>
      </w:r>
      <w:r>
        <w:br w:type="page"/>
      </w:r>
    </w:p>
    <w:p>
      <w:pPr>
        <w:pStyle w:val="Style16"/>
        <w:rPr>
          <w:sz w:val="20"/>
        </w:rPr>
      </w:pPr>
      <w:r>
        <w:rPr>
          <w:sz w:val="20"/>
        </w:rPr>
        <w:t xml:space="preserve"> </w:t>
      </w:r>
    </w:p>
    <w:p>
      <w:pPr>
        <w:pStyle w:val="Style16"/>
        <w:rPr>
          <w:sz w:val="22"/>
          <w:szCs w:val="22"/>
        </w:rPr>
      </w:pPr>
      <w:r>
        <w:rPr>
          <w:sz w:val="22"/>
          <w:szCs w:val="22"/>
        </w:rPr>
        <w:t>РОЗРОБЛЕНО ТА ВНЕСЕНО: _</w:t>
      </w:r>
      <w:r>
        <w:rPr>
          <w:sz w:val="22"/>
          <w:szCs w:val="22"/>
          <w:u w:val="single"/>
        </w:rPr>
        <w:t>Дніпровський національний університет імені Олеся Гончара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>(повне найменування вищого навчального закладу)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РОЗРОБНИКИ ПРОГРАМИ: _</w:t>
      </w:r>
      <w:r>
        <w:rPr>
          <w:sz w:val="22"/>
          <w:szCs w:val="22"/>
          <w:u w:val="single"/>
        </w:rPr>
        <w:t>доцент кафедри САУ, Голубек Олександр Вячеславович</w:t>
        <w:tab/>
        <w:tab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>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___________________________________________________________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lang w:val="ru-RU"/>
        </w:rPr>
      </w:pPr>
      <w:r>
        <w:rPr>
          <w:sz w:val="22"/>
          <w:szCs w:val="22"/>
        </w:rPr>
        <w:t>Обговорено та схвалено науково-методичною комісією  за  напрямом підготовки/спеціальністю</w:t>
      </w:r>
      <w:r>
        <w:rPr>
          <w:sz w:val="22"/>
          <w:szCs w:val="22"/>
          <w:lang w:val="ru-RU"/>
        </w:rPr>
        <w:t xml:space="preserve"> </w:t>
      </w:r>
    </w:p>
    <w:p>
      <w:pPr>
        <w:pStyle w:val="Normal"/>
        <w:rPr/>
      </w:pPr>
      <w:r>
        <w:rPr>
          <w:sz w:val="22"/>
          <w:szCs w:val="22"/>
          <w:lang w:val="ru-RU"/>
        </w:rPr>
        <w:t>_</w:t>
      </w:r>
      <w:r>
        <w:rPr>
          <w:sz w:val="22"/>
          <w:szCs w:val="22"/>
          <w:u w:val="single"/>
          <w:lang w:val="ru-RU"/>
        </w:rPr>
        <w:t>173 Авіоніка</w:t>
      </w:r>
      <w:r>
        <w:rPr>
          <w:sz w:val="22"/>
          <w:szCs w:val="22"/>
          <w:lang w:val="ru-RU"/>
        </w:rPr>
        <w:t>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/>
        <w:t>“</w:t>
      </w:r>
      <w:r>
        <w:rPr/>
        <w:t>__</w:t>
      </w:r>
      <w:r>
        <w:rPr>
          <w:u w:val="single"/>
        </w:rPr>
        <w:t>11</w:t>
      </w:r>
      <w:r>
        <w:rPr/>
        <w:t>_”  ___</w:t>
      </w:r>
      <w:r>
        <w:rPr>
          <w:u w:val="single"/>
        </w:rPr>
        <w:t>05</w:t>
      </w:r>
      <w:r>
        <w:rPr/>
        <w:t xml:space="preserve">_ 2017 року, протокол № </w:t>
      </w:r>
      <w:r>
        <w:rPr>
          <w:u w:val="single"/>
        </w:rPr>
        <w:t>11</w:t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i/>
          <w:i/>
          <w:color w:val="333399"/>
          <w:sz w:val="36"/>
          <w:szCs w:val="36"/>
          <w:u w:val="single"/>
        </w:rPr>
      </w:pPr>
      <w:r>
        <w:rPr>
          <w:b/>
          <w:i/>
          <w:color w:val="333399"/>
          <w:sz w:val="36"/>
          <w:szCs w:val="36"/>
          <w:u w:val="single"/>
        </w:rPr>
      </w:r>
    </w:p>
    <w:p>
      <w:pPr>
        <w:pStyle w:val="Normal"/>
        <w:jc w:val="center"/>
        <w:rPr>
          <w:b/>
          <w:b/>
          <w:color w:val="333399"/>
          <w:sz w:val="36"/>
          <w:szCs w:val="36"/>
        </w:rPr>
      </w:pPr>
      <w:r>
        <w:rPr>
          <w:b/>
          <w:color w:val="333399"/>
          <w:sz w:val="36"/>
          <w:szCs w:val="36"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sz w:val="20"/>
        </w:rPr>
        <w:t xml:space="preserve"> </w:t>
      </w:r>
      <w:r>
        <w:rPr>
          <w:b/>
          <w:bCs/>
          <w:caps/>
        </w:rPr>
        <w:t>Вступ</w:t>
      </w:r>
    </w:p>
    <w:p>
      <w:pPr>
        <w:pStyle w:val="Style20"/>
        <w:ind w:left="540" w:hanging="0"/>
        <w:jc w:val="both"/>
        <w:rPr/>
      </w:pPr>
      <w:r>
        <w:rPr>
          <w:sz w:val="22"/>
          <w:szCs w:val="22"/>
        </w:rPr>
        <w:t>Програма вивчення вибіркової</w:t>
      </w:r>
      <w:bookmarkStart w:id="0" w:name="_GoBack"/>
      <w:bookmarkEnd w:id="0"/>
      <w:r>
        <w:rPr>
          <w:sz w:val="22"/>
          <w:szCs w:val="22"/>
        </w:rPr>
        <w:t xml:space="preserve"> навчальної дисципліни “</w:t>
      </w:r>
      <w:r>
        <w:rPr>
          <w:sz w:val="22"/>
          <w:szCs w:val="22"/>
          <w:u w:val="single"/>
        </w:rPr>
        <w:t>Навігаційні супутник</w:t>
      </w:r>
      <w:r>
        <w:rPr>
          <w:sz w:val="22"/>
          <w:szCs w:val="22"/>
          <w:u w:val="single"/>
        </w:rPr>
        <w:t>и</w:t>
      </w:r>
      <w:r>
        <w:rPr>
          <w:sz w:val="22"/>
          <w:szCs w:val="22"/>
        </w:rPr>
        <w:t xml:space="preserve">” складена відповідно до освітньо-професійної програми першого рівня підготовки (бакалавр) </w:t>
      </w:r>
    </w:p>
    <w:p>
      <w:pPr>
        <w:pStyle w:val="Style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>(назва ступеня вищої освіти)</w:t>
      </w:r>
    </w:p>
    <w:p>
      <w:pPr>
        <w:pStyle w:val="Style20"/>
        <w:jc w:val="both"/>
        <w:rPr/>
      </w:pPr>
      <w:r>
        <w:rPr>
          <w:sz w:val="22"/>
          <w:szCs w:val="22"/>
        </w:rPr>
        <w:t>спеціальності “</w:t>
      </w:r>
      <w:r>
        <w:rPr>
          <w:sz w:val="22"/>
          <w:szCs w:val="22"/>
          <w:u w:val="single"/>
        </w:rPr>
        <w:t>173 Авіоніка</w:t>
      </w:r>
      <w:r>
        <w:rPr>
          <w:sz w:val="22"/>
          <w:szCs w:val="22"/>
        </w:rPr>
        <w:t>”.</w:t>
      </w:r>
    </w:p>
    <w:p>
      <w:pPr>
        <w:pStyle w:val="Normal"/>
        <w:ind w:firstLine="54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Предметом</w:t>
      </w:r>
      <w:r>
        <w:rPr>
          <w:sz w:val="22"/>
          <w:szCs w:val="22"/>
        </w:rPr>
        <w:t xml:space="preserve"> вивчення  навчальної дисципліни є 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  <w:u w:val="single"/>
        </w:rPr>
        <w:t>- принципи побудови систем супутникової навігації;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  <w:u w:val="single"/>
        </w:rPr>
        <w:t>- супутникові навігаційні системи.</w:t>
      </w:r>
    </w:p>
    <w:p>
      <w:pPr>
        <w:pStyle w:val="Normal"/>
        <w:ind w:firstLine="54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Міждисциплінарні зв’язки</w:t>
      </w:r>
      <w:r>
        <w:rPr>
          <w:sz w:val="22"/>
          <w:szCs w:val="22"/>
        </w:rPr>
        <w:t xml:space="preserve">: 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  <w:u w:val="single"/>
        </w:rPr>
        <w:t>Вища математика, Фізика, Електроніка і основи схемотехніки</w:t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Програма навчальної дисципліни складається з таких змістових модулів: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</w:rPr>
        <w:t>1. Змістовий модуль 1. Структура супутникових навігаційних систем.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</w:rPr>
        <w:t>2. Змістовий модуль 2. Навколоземний рух навигаційних супутників.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</w:rPr>
        <w:t>3.</w:t>
      </w:r>
      <w:r>
        <w:rPr/>
        <w:t xml:space="preserve"> </w:t>
      </w:r>
      <w:r>
        <w:rPr>
          <w:sz w:val="22"/>
          <w:szCs w:val="22"/>
        </w:rPr>
        <w:t>Змістовий модуль 3. Методи навігації споживача супутникових систем.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</w:rPr>
        <w:t>4. Змістовий модуль 4. Характеристики супутникових навігаційних систем.</w:t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3"/>
        <w:jc w:val="both"/>
        <w:rPr>
          <w:sz w:val="22"/>
          <w:szCs w:val="22"/>
        </w:rPr>
      </w:pPr>
      <w:r>
        <w:rPr>
          <w:sz w:val="22"/>
          <w:szCs w:val="22"/>
        </w:rPr>
        <w:t>1. Мета та завдання навчальної дисципліни</w:t>
      </w:r>
    </w:p>
    <w:p>
      <w:pPr>
        <w:pStyle w:val="Style20"/>
        <w:jc w:val="both"/>
        <w:rPr/>
      </w:pPr>
      <w:r>
        <w:rPr>
          <w:sz w:val="22"/>
          <w:szCs w:val="22"/>
        </w:rPr>
        <w:t xml:space="preserve">1.1. Метою викладання навчальної дисципліни </w:t>
      </w:r>
      <w:r>
        <w:rPr>
          <w:sz w:val="22"/>
          <w:szCs w:val="22"/>
        </w:rPr>
        <w:t>“</w:t>
      </w:r>
      <w:r>
        <w:rPr>
          <w:sz w:val="22"/>
          <w:szCs w:val="22"/>
          <w:u w:val="single"/>
        </w:rPr>
        <w:t>Навігаційні супутники</w:t>
      </w:r>
      <w:r>
        <w:rPr>
          <w:sz w:val="22"/>
          <w:szCs w:val="22"/>
        </w:rPr>
        <w:t xml:space="preserve">” </w:t>
      </w:r>
      <w:r>
        <w:rPr>
          <w:sz w:val="22"/>
          <w:szCs w:val="22"/>
        </w:rPr>
        <w:t xml:space="preserve"> є </w:t>
      </w:r>
    </w:p>
    <w:p>
      <w:pPr>
        <w:pStyle w:val="Style20"/>
        <w:jc w:val="both"/>
        <w:rPr/>
      </w:pPr>
      <w:r>
        <w:rPr>
          <w:sz w:val="22"/>
          <w:szCs w:val="22"/>
        </w:rPr>
        <w:t>вивчення принципів побудови систем супутникової навігації.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</w:rPr>
        <w:t xml:space="preserve">1.2.Основними завданнями вивчення дисципліни </w:t>
      </w:r>
      <w:bookmarkStart w:id="1" w:name="__DdeLink__269_3525864879"/>
      <w:r>
        <w:rPr>
          <w:sz w:val="22"/>
          <w:szCs w:val="22"/>
        </w:rPr>
        <w:t>“</w:t>
      </w:r>
      <w:r>
        <w:rPr>
          <w:sz w:val="22"/>
          <w:szCs w:val="22"/>
          <w:u w:val="single"/>
        </w:rPr>
        <w:t>Навігаційні супутник</w:t>
      </w:r>
      <w:r>
        <w:rPr>
          <w:sz w:val="22"/>
          <w:szCs w:val="22"/>
          <w:u w:val="single"/>
        </w:rPr>
        <w:t>и</w:t>
      </w:r>
      <w:r>
        <w:rPr>
          <w:sz w:val="22"/>
          <w:szCs w:val="22"/>
        </w:rPr>
        <w:t xml:space="preserve">” </w:t>
      </w:r>
      <w:bookmarkEnd w:id="1"/>
      <w:r>
        <w:rPr>
          <w:sz w:val="22"/>
          <w:szCs w:val="22"/>
        </w:rPr>
        <w:t xml:space="preserve">є 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  <w:u w:val="single"/>
        </w:rPr>
        <w:t>- вивчити структуру супутникових навігаційних систем;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  <w:u w:val="single"/>
        </w:rPr>
        <w:t>- вивчити принципи навколоземного руху навігаційних супутників;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  <w:u w:val="single"/>
        </w:rPr>
        <w:t>- вивчити методи навігації споживача супутникових систем;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  <w:u w:val="single"/>
        </w:rPr>
        <w:t>- вивчити існуючі супутникові навігаційні системи.</w:t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1.3. Згідно з вимогами освітньо-професійної програми студенти повинні:</w:t>
      </w:r>
    </w:p>
    <w:p>
      <w:pPr>
        <w:pStyle w:val="Normal"/>
        <w:ind w:firstLine="540"/>
        <w:jc w:val="both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знати :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  <w:u w:val="single"/>
        </w:rPr>
        <w:t>- принципи навколоземного руху навігаційних супутників;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  <w:u w:val="single"/>
        </w:rPr>
        <w:t>- принципи організації і основні характеристики систем супутникової навігації;</w:t>
      </w:r>
    </w:p>
    <w:p>
      <w:pPr>
        <w:pStyle w:val="Normal"/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- принципи роботи навігаційних супутникових систем;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  <w:u w:val="single"/>
        </w:rPr>
        <w:t>- структуру наземного і космічного сегментів систем супутникової навігації;</w:t>
      </w:r>
    </w:p>
    <w:p>
      <w:pPr>
        <w:pStyle w:val="Normal"/>
        <w:ind w:firstLine="540"/>
        <w:jc w:val="both"/>
        <w:rPr/>
      </w:pPr>
      <w:r>
        <w:rPr>
          <w:sz w:val="22"/>
          <w:szCs w:val="22"/>
          <w:u w:val="single"/>
        </w:rPr>
        <w:t>- методи використання супутникової навігаційної інформації споживачем.</w:t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вміти</w:t>
      </w:r>
      <w:r>
        <w:rPr>
          <w:sz w:val="22"/>
          <w:szCs w:val="22"/>
        </w:rPr>
        <w:t xml:space="preserve"> :</w:t>
      </w:r>
    </w:p>
    <w:p>
      <w:pPr>
        <w:pStyle w:val="Style20"/>
        <w:jc w:val="both"/>
        <w:rPr/>
      </w:pPr>
      <w:r>
        <w:rPr>
          <w:sz w:val="22"/>
          <w:szCs w:val="22"/>
          <w:u w:val="single"/>
        </w:rPr>
        <w:t>- обґрунтовувати доцільність супутникових навігаційних систем;</w:t>
      </w:r>
    </w:p>
    <w:p>
      <w:pPr>
        <w:pStyle w:val="Style20"/>
        <w:jc w:val="both"/>
        <w:rPr/>
      </w:pPr>
      <w:r>
        <w:rPr>
          <w:sz w:val="22"/>
          <w:szCs w:val="22"/>
          <w:u w:val="single"/>
        </w:rPr>
        <w:t>- визначати переваги і недоліки організації систем супутникової навігації;</w:t>
      </w:r>
    </w:p>
    <w:p>
      <w:pPr>
        <w:pStyle w:val="Style20"/>
        <w:jc w:val="both"/>
        <w:rPr/>
      </w:pPr>
      <w:r>
        <w:rPr>
          <w:sz w:val="22"/>
          <w:szCs w:val="22"/>
          <w:u w:val="single"/>
        </w:rPr>
        <w:t>- визначати структуру космічних апаратів супутникових навігаційних систем.</w:t>
      </w:r>
    </w:p>
    <w:p>
      <w:pPr>
        <w:pStyle w:val="Style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20"/>
        <w:jc w:val="both"/>
        <w:rPr/>
      </w:pPr>
      <w:r>
        <w:rPr>
          <w:sz w:val="22"/>
          <w:szCs w:val="22"/>
        </w:rPr>
        <w:t>На вивчення навчальної дисципліни відводиться _</w:t>
      </w:r>
      <w:r>
        <w:rPr>
          <w:sz w:val="22"/>
          <w:szCs w:val="22"/>
          <w:u w:val="single"/>
        </w:rPr>
        <w:t>210</w:t>
      </w:r>
      <w:r>
        <w:rPr>
          <w:sz w:val="22"/>
          <w:szCs w:val="22"/>
        </w:rPr>
        <w:t xml:space="preserve"> годин</w:t>
      </w:r>
      <w:r>
        <w:rPr>
          <w:sz w:val="22"/>
          <w:szCs w:val="22"/>
          <w:lang w:val="ru-RU"/>
        </w:rPr>
        <w:t>/_</w:t>
      </w:r>
      <w:r>
        <w:rPr>
          <w:sz w:val="22"/>
          <w:szCs w:val="22"/>
          <w:lang w:val="ru-RU"/>
        </w:rPr>
        <w:t>7</w:t>
      </w:r>
      <w:r>
        <w:rPr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кредитів </w:t>
      </w:r>
      <w:r>
        <w:rPr>
          <w:sz w:val="22"/>
          <w:szCs w:val="22"/>
          <w:lang w:val="en-US"/>
        </w:rPr>
        <w:t>ECTS</w:t>
      </w:r>
      <w:r>
        <w:rPr>
          <w:sz w:val="22"/>
          <w:szCs w:val="22"/>
        </w:rPr>
        <w:t>.</w:t>
      </w:r>
    </w:p>
    <w:p>
      <w:pPr>
        <w:pStyle w:val="Style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 Інформаційний обсяг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навчальної</w:t>
      </w:r>
      <w:r>
        <w:rPr>
          <w:b/>
          <w:bCs/>
          <w:sz w:val="22"/>
          <w:szCs w:val="22"/>
        </w:rPr>
        <w:t xml:space="preserve"> дисципліни</w:t>
      </w:r>
      <w:r>
        <w:rPr>
          <w:sz w:val="22"/>
          <w:szCs w:val="22"/>
        </w:rPr>
        <w:t xml:space="preserve"> </w:t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Змістовий модуль 1.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Тема 1. Космічний сегмент.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Тема 2. Сегмент управління.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Тема 3. Сегмент споживача.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567"/>
        <w:jc w:val="both"/>
        <w:rPr/>
      </w:pPr>
      <w:r>
        <w:rPr>
          <w:b/>
          <w:sz w:val="22"/>
          <w:szCs w:val="22"/>
        </w:rPr>
        <w:t>Змістовий модуль 2.</w:t>
      </w:r>
    </w:p>
    <w:p>
      <w:pPr>
        <w:pStyle w:val="3"/>
        <w:jc w:val="both"/>
        <w:rPr/>
      </w:pPr>
      <w:r>
        <w:rPr>
          <w:b w:val="false"/>
          <w:bCs w:val="false"/>
          <w:sz w:val="22"/>
          <w:szCs w:val="22"/>
          <w:u w:val="single"/>
        </w:rPr>
        <w:t xml:space="preserve">Тема 1. Задача двох тіл. Диференційні рівняння руху. Інтеграли енергії, площини, Лапласа. </w:t>
      </w:r>
    </w:p>
    <w:p>
      <w:pPr>
        <w:pStyle w:val="3"/>
        <w:jc w:val="both"/>
        <w:rPr/>
      </w:pPr>
      <w:r>
        <w:rPr>
          <w:b w:val="false"/>
          <w:bCs w:val="false"/>
          <w:sz w:val="22"/>
          <w:szCs w:val="22"/>
          <w:u w:val="single"/>
        </w:rPr>
        <w:t>Тема 2. Положення супутника на орбіті та його швидкість.</w:t>
      </w:r>
    </w:p>
    <w:p>
      <w:pPr>
        <w:pStyle w:val="3"/>
        <w:jc w:val="both"/>
        <w:rPr/>
      </w:pPr>
      <w:r>
        <w:rPr>
          <w:b w:val="false"/>
          <w:bCs w:val="false"/>
          <w:sz w:val="22"/>
          <w:szCs w:val="22"/>
          <w:u w:val="single"/>
        </w:rPr>
        <w:t>Тема 3. Оскулюючі елементи орбіти.</w:t>
      </w:r>
    </w:p>
    <w:p>
      <w:pPr>
        <w:pStyle w:val="3"/>
        <w:keepNext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567"/>
        <w:jc w:val="both"/>
        <w:outlineLvl w:val="2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  <w:u w:val="single"/>
          <w:lang w:val="uk-UA" w:eastAsia="ru-RU"/>
        </w:rPr>
      </w:pPr>
      <w:r>
        <w:rPr>
          <w:rFonts w:eastAsia="Times New Roman" w:cs="Times New Roman"/>
          <w:b w:val="false"/>
          <w:bCs w:val="false"/>
          <w:sz w:val="22"/>
          <w:szCs w:val="22"/>
          <w:u w:val="single"/>
          <w:lang w:val="uk-UA" w:eastAsia="ru-RU"/>
        </w:rPr>
        <w:t>Тема 4. Системи зв’язку на середніх і низьких колових орбітах.</w:t>
      </w:r>
    </w:p>
    <w:p>
      <w:pPr>
        <w:pStyle w:val="3"/>
        <w:widowControl/>
        <w:numPr>
          <w:ilvl w:val="0"/>
          <w:numId w:val="0"/>
        </w:numPr>
        <w:bidi w:val="0"/>
        <w:spacing w:lineRule="auto" w:line="240" w:before="0" w:after="0"/>
        <w:ind w:left="0" w:right="0" w:firstLine="567"/>
        <w:jc w:val="both"/>
        <w:outlineLvl w:val="2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  <w:u w:val="none"/>
          <w:lang w:val="uk-UA" w:eastAsia="ru-RU"/>
        </w:rPr>
      </w:pPr>
      <w:r>
        <w:rPr>
          <w:rFonts w:eastAsia="Times New Roman" w:cs="Times New Roman"/>
          <w:b w:val="false"/>
          <w:bCs w:val="false"/>
          <w:sz w:val="22"/>
          <w:szCs w:val="22"/>
          <w:u w:val="none"/>
          <w:lang w:val="uk-UA" w:eastAsia="ru-RU"/>
        </w:rPr>
      </w:r>
    </w:p>
    <w:p>
      <w:pPr>
        <w:pStyle w:val="Normal"/>
        <w:ind w:firstLine="567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Змістовий модуль 3.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Тема 1. Дальновимірний метод. 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Тема 2. Псевдодальновимірний метод.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Тема 3. Різницьно-дальновимірний метод.</w:t>
      </w:r>
    </w:p>
    <w:p>
      <w:pPr>
        <w:pStyle w:val="Normal"/>
        <w:widowControl/>
        <w:bidi w:val="0"/>
        <w:spacing w:lineRule="auto" w:line="240" w:before="0" w:after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4. Визначення просторової орієнтації об’єкта.</w:t>
      </w:r>
    </w:p>
    <w:p>
      <w:pPr>
        <w:pStyle w:val="Normal"/>
        <w:ind w:firstLine="567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firstLine="567"/>
        <w:jc w:val="both"/>
        <w:rPr/>
      </w:pPr>
      <w:r>
        <w:rPr>
          <w:b/>
          <w:sz w:val="22"/>
          <w:szCs w:val="22"/>
        </w:rPr>
        <w:t>Змістовий модуль 4.</w:t>
      </w:r>
    </w:p>
    <w:p>
      <w:pPr>
        <w:pStyle w:val="Normal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1. Супутникова система ГЛОНАСС.</w:t>
      </w:r>
    </w:p>
    <w:p>
      <w:pPr>
        <w:pStyle w:val="Normal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2. Супутникова система GPS.</w:t>
      </w:r>
    </w:p>
    <w:p>
      <w:pPr>
        <w:pStyle w:val="Normal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Тема 3. Супутникова система Galilleo.</w:t>
      </w:r>
    </w:p>
    <w:p>
      <w:pPr>
        <w:pStyle w:val="Normal"/>
        <w:ind w:firstLine="540"/>
        <w:jc w:val="both"/>
        <w:rPr>
          <w:u w:val="single"/>
        </w:rPr>
      </w:pPr>
      <w:r>
        <w:rPr>
          <w:u w:val="single"/>
        </w:rPr>
      </w:r>
    </w:p>
    <w:p>
      <w:pPr>
        <w:pStyle w:val="3"/>
        <w:jc w:val="both"/>
        <w:rPr>
          <w:sz w:val="22"/>
          <w:szCs w:val="22"/>
        </w:rPr>
      </w:pPr>
      <w:r>
        <w:rPr>
          <w:sz w:val="22"/>
          <w:szCs w:val="22"/>
        </w:rPr>
        <w:t>3. Рекомендована література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Яценков В.С. Основы спутниковой навигации. Системы GPS NAVSTAR и ГЛОНАСС. М.: Горячая линия-Телеком, 2005. - 272 с.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Ориентация и навигация подвижных объектов: современные информационные технологии. Под ред. Б.С. Алёшина, К.К. Веремеенко, А.И. Черноморского. М.: Физматлит, 2006. - 424 с.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Соловьёв Ю. А. </w:t>
      </w:r>
      <w:r>
        <w:rPr>
          <w:sz w:val="22"/>
          <w:szCs w:val="22"/>
          <w:lang w:val="uk-UA" w:eastAsia="en-US"/>
        </w:rPr>
        <w:t xml:space="preserve">Системы спутниковой навигации. </w:t>
      </w:r>
      <w:r>
        <w:rPr>
          <w:sz w:val="22"/>
          <w:szCs w:val="22"/>
          <w:lang w:val="uk-UA"/>
        </w:rPr>
        <w:t>М.: Эко-Трендз, 2000. - 268 c.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Тяпкин В. Н. , Гарин Е. Н. Методы определения навигационных параметров подвижных средств с использованием спутниковой радионавигационной системы ГЛОНАСС: монография. . – Красноярск: Сиб. федер. ун-т, 2012. – 260 с.</w:t>
      </w:r>
    </w:p>
    <w:p>
      <w:pPr>
        <w:pStyle w:val="Normal"/>
        <w:widowControl/>
        <w:numPr>
          <w:ilvl w:val="0"/>
          <w:numId w:val="2"/>
        </w:numPr>
        <w:tabs>
          <w:tab w:val="left" w:pos="1080" w:leader="none"/>
        </w:tabs>
        <w:bidi w:val="0"/>
        <w:spacing w:lineRule="auto" w:line="240" w:before="0" w:after="0"/>
        <w:ind w:left="0" w:right="0" w:firstLine="567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Охоцимский, Д. Е. Основы механики космического полета [Текст]: учеб. пособие / Д. Е. Охоцимский, Ю. Г. Сихарулидзе. – М.: Наука. Гл. ред. физ.-мат. лит., 1990. – 448 с.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Ramjee Prasad, Marina Ruggieri Applied Satellite Navigation Using GPS, GALILEO, and Augmentation Systems. Boston | London: Artech House, 2005. - 290 p.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Global Navigation Satellite Systems - From Stellar to Satellite Navigation Edited by Ahmed H Mohamed. Croatia: Rijeka, 2013. - 159 p.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Global Navigation Satellite Systems – Signal, Theory and Applications.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Bernhard Hofmann-Wellenhof, Herbert Lichtenegger, Elmar Wasle GNSS – Global Navigation Satellite Systems GPS, GLONASS, Galileo, and more. Wien | NewYork: Springer, 2008. - 516 p.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567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Mohinder S. Grewal, Lawrence R. Weill, Angus P. Andrews Global Positioning Systems, Inertial Navigation, and Integration. New York / Chichester / Weinheim / Brisbane / Singapore / Toronto: A John Wiley &amp; Sons, Inc., 2001. - 392 p.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72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p>
      <w:pPr>
        <w:pStyle w:val="3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Форма підсумкового контролю успішності навчання _____</w:t>
      </w:r>
      <w:r>
        <w:rPr>
          <w:sz w:val="22"/>
          <w:szCs w:val="22"/>
          <w:u w:val="single"/>
        </w:rPr>
        <w:t>екзамен</w:t>
      </w:r>
      <w:r>
        <w:rPr>
          <w:sz w:val="22"/>
          <w:szCs w:val="22"/>
        </w:rPr>
        <w:t>___</w:t>
      </w:r>
    </w:p>
    <w:p>
      <w:pPr>
        <w:pStyle w:val="Normal"/>
        <w:numPr>
          <w:ilvl w:val="0"/>
          <w:numId w:val="1"/>
        </w:numPr>
        <w:tabs>
          <w:tab w:val="left" w:pos="-180" w:leader="none"/>
        </w:tabs>
        <w:ind w:left="0" w:firstLine="540"/>
        <w:jc w:val="both"/>
        <w:rPr/>
      </w:pP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Засоби діагностики успішності навчання   ____</w:t>
      </w:r>
      <w:r>
        <w:rPr>
          <w:b/>
          <w:bCs/>
          <w:sz w:val="22"/>
          <w:szCs w:val="22"/>
          <w:u w:val="single"/>
        </w:rPr>
        <w:t>КМР</w:t>
      </w:r>
      <w:r>
        <w:rPr>
          <w:b/>
          <w:bCs/>
          <w:sz w:val="22"/>
          <w:szCs w:val="22"/>
        </w:rPr>
        <w:t>__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4e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uk-UA" w:eastAsia="ru-RU" w:bidi="ar-SA"/>
    </w:rPr>
  </w:style>
  <w:style w:type="paragraph" w:styleId="1">
    <w:name w:val="Heading 1"/>
    <w:basedOn w:val="Normal"/>
    <w:link w:val="10"/>
    <w:qFormat/>
    <w:rsid w:val="002521ff"/>
    <w:pPr>
      <w:keepNext/>
      <w:jc w:val="center"/>
      <w:outlineLvl w:val="0"/>
    </w:pPr>
    <w:rPr>
      <w:sz w:val="28"/>
    </w:rPr>
  </w:style>
  <w:style w:type="paragraph" w:styleId="3">
    <w:name w:val="Heading 3"/>
    <w:basedOn w:val="Normal"/>
    <w:link w:val="30"/>
    <w:qFormat/>
    <w:rsid w:val="002521ff"/>
    <w:pPr>
      <w:keepNext/>
      <w:ind w:firstLine="540"/>
      <w:jc w:val="center"/>
      <w:outlineLvl w:val="2"/>
    </w:pPr>
    <w:rPr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2521ff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31" w:customStyle="1">
    <w:name w:val="Заголовок 3 Знак"/>
    <w:basedOn w:val="DefaultParagraphFont"/>
    <w:link w:val="3"/>
    <w:qFormat/>
    <w:rsid w:val="002521ff"/>
    <w:rPr>
      <w:rFonts w:ascii="Times New Roman" w:hAnsi="Times New Roman" w:eastAsia="Times New Roman" w:cs="Times New Roman"/>
      <w:b/>
      <w:bCs/>
      <w:sz w:val="32"/>
      <w:szCs w:val="24"/>
      <w:lang w:val="uk-UA" w:eastAsia="ru-RU"/>
    </w:rPr>
  </w:style>
  <w:style w:type="character" w:styleId="Style12" w:customStyle="1">
    <w:name w:val="Основной текст Знак"/>
    <w:basedOn w:val="DefaultParagraphFont"/>
    <w:link w:val="a3"/>
    <w:qFormat/>
    <w:rsid w:val="002521ff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3" w:customStyle="1">
    <w:name w:val="Основной текст с отступом Знак"/>
    <w:basedOn w:val="DefaultParagraphFont"/>
    <w:link w:val="a5"/>
    <w:qFormat/>
    <w:rsid w:val="002521ff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b/>
      <w:sz w:val="22"/>
    </w:rPr>
  </w:style>
  <w:style w:type="character" w:styleId="Style14">
    <w:name w:val="Символ нумерации"/>
    <w:qFormat/>
    <w:rPr/>
  </w:style>
  <w:style w:type="character" w:styleId="ListLabel2">
    <w:name w:val="ListLabel 2"/>
    <w:qFormat/>
    <w:rPr>
      <w:b/>
      <w:sz w:val="22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link w:val="a4"/>
    <w:rsid w:val="002521ff"/>
    <w:pPr/>
    <w:rPr>
      <w:sz w:val="28"/>
    </w:rPr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Body Text Indent"/>
    <w:basedOn w:val="Normal"/>
    <w:link w:val="a6"/>
    <w:rsid w:val="002521ff"/>
    <w:pPr>
      <w:ind w:firstLine="540"/>
    </w:pPr>
    <w:rPr>
      <w:sz w:val="28"/>
    </w:rPr>
  </w:style>
  <w:style w:type="paragraph" w:styleId="ListParagraph">
    <w:name w:val="List Paragraph"/>
    <w:basedOn w:val="Normal"/>
    <w:uiPriority w:val="34"/>
    <w:qFormat/>
    <w:rsid w:val="00df4e2c"/>
    <w:pPr>
      <w:spacing w:before="0" w:after="0"/>
      <w:ind w:left="720" w:hanging="0"/>
      <w:contextualSpacing/>
    </w:pPr>
    <w:rPr/>
  </w:style>
  <w:style w:type="paragraph" w:styleId="2">
    <w:name w:val="Основной текст с отступом 2"/>
    <w:basedOn w:val="Normal"/>
    <w:qFormat/>
    <w:pPr>
      <w:spacing w:lineRule="auto" w:line="480" w:before="0" w:after="120"/>
      <w:ind w:left="283" w:hanging="0"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LibreOffice/5.3.1.2$Linux_x86 LibreOffice_project/30m0$Build-2</Application>
  <Pages>4</Pages>
  <Words>659</Words>
  <Characters>4694</Characters>
  <CharactersWithSpaces>5659</CharactersWithSpaces>
  <Paragraphs>93</Paragraphs>
  <Company>SAU_department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2017-12-07T09:06:00Z</dcterms:created>
  <dc:creator>Lecturer</dc:creator>
  <dc:description/>
  <dc:language>ru-RU</dc:language>
  <cp:lastModifiedBy/>
  <dcterms:modified xsi:type="dcterms:W3CDTF">2017-12-13T00:12:35Z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SAU_department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