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6" w:rsidRDefault="00DB2CB6" w:rsidP="00A43984">
      <w:pPr>
        <w:pStyle w:val="1"/>
        <w:rPr>
          <w:b/>
          <w:caps/>
          <w:szCs w:val="28"/>
        </w:rPr>
      </w:pPr>
    </w:p>
    <w:p w:rsidR="00A43984" w:rsidRPr="00A43984" w:rsidRDefault="00A43984" w:rsidP="00A43984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B56218">
        <w:rPr>
          <w:b/>
          <w:caps/>
          <w:szCs w:val="28"/>
        </w:rPr>
        <w:t xml:space="preserve"> України</w:t>
      </w:r>
    </w:p>
    <w:p w:rsidR="00087882" w:rsidRDefault="00087882" w:rsidP="00087882">
      <w:pPr>
        <w:jc w:val="right"/>
        <w:rPr>
          <w:sz w:val="16"/>
        </w:rPr>
      </w:pPr>
    </w:p>
    <w:p w:rsidR="00746C24" w:rsidRDefault="00410157" w:rsidP="00E778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Дніп</w:t>
      </w:r>
      <w:r w:rsidR="00746C24">
        <w:rPr>
          <w:b/>
          <w:sz w:val="28"/>
          <w:szCs w:val="28"/>
          <w:u w:val="single"/>
        </w:rPr>
        <w:t xml:space="preserve">ровський національний університет </w:t>
      </w:r>
      <w:r w:rsidR="00746C24">
        <w:rPr>
          <w:b/>
          <w:sz w:val="32"/>
          <w:szCs w:val="32"/>
          <w:u w:val="single"/>
        </w:rPr>
        <w:t>імені</w:t>
      </w:r>
      <w:r w:rsidR="00746C24">
        <w:rPr>
          <w:b/>
          <w:sz w:val="28"/>
          <w:szCs w:val="28"/>
          <w:u w:val="single"/>
        </w:rPr>
        <w:t xml:space="preserve"> Олеся Гончара</w:t>
      </w:r>
    </w:p>
    <w:p w:rsidR="003B41B5" w:rsidRPr="009E5B97" w:rsidRDefault="003B41B5" w:rsidP="009E5B97">
      <w:pPr>
        <w:jc w:val="center"/>
        <w:rPr>
          <w:lang w:eastAsia="uk-UA"/>
        </w:rPr>
      </w:pPr>
      <w:r>
        <w:rPr>
          <w:b/>
          <w:sz w:val="28"/>
          <w:szCs w:val="28"/>
          <w:u w:val="single"/>
        </w:rPr>
        <w:t>Факультет</w:t>
      </w:r>
      <w:r w:rsidR="009E5B97" w:rsidRPr="009E5B97">
        <w:rPr>
          <w:b/>
          <w:sz w:val="28"/>
          <w:szCs w:val="28"/>
          <w:u w:val="single"/>
          <w:lang w:eastAsia="uk-UA"/>
        </w:rPr>
        <w:t xml:space="preserve"> української й іноземної філології та мистецтвознавства</w:t>
      </w:r>
    </w:p>
    <w:p w:rsidR="003B41B5" w:rsidRPr="003B41B5" w:rsidRDefault="003B41B5" w:rsidP="00E7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85049E" w:rsidRDefault="009E5B97" w:rsidP="009E5B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Кафедра </w:t>
      </w:r>
      <w:r>
        <w:rPr>
          <w:b/>
          <w:bCs/>
          <w:sz w:val="28"/>
          <w:szCs w:val="28"/>
          <w:u w:val="single"/>
        </w:rPr>
        <w:t>порівняльної філології східних та англомовних країн____</w:t>
      </w:r>
    </w:p>
    <w:p w:rsidR="00087882" w:rsidRPr="003B41B5" w:rsidRDefault="003B41B5" w:rsidP="00087882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211823" w:rsidRPr="00434898" w:rsidRDefault="009E5B97" w:rsidP="009E5B97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u w:val="single"/>
        </w:rPr>
        <w:tab/>
      </w:r>
      <w:r w:rsidR="005810CD" w:rsidRPr="005810CD">
        <w:rPr>
          <w:sz w:val="28"/>
          <w:szCs w:val="28"/>
          <w:u w:val="single"/>
        </w:rPr>
        <w:t>Національна література в кроскультурній перспективі</w:t>
      </w:r>
      <w:r w:rsidR="00434898" w:rsidRPr="00434898">
        <w:rPr>
          <w:sz w:val="28"/>
          <w:szCs w:val="28"/>
          <w:u w:val="single"/>
          <w:lang w:val="ru-RU"/>
        </w:rPr>
        <w:tab/>
      </w:r>
      <w:r w:rsidR="00434898" w:rsidRPr="00434898">
        <w:rPr>
          <w:sz w:val="28"/>
          <w:szCs w:val="28"/>
          <w:u w:val="single"/>
          <w:lang w:val="ru-RU"/>
        </w:rPr>
        <w:tab/>
      </w:r>
    </w:p>
    <w:p w:rsidR="00211823" w:rsidRPr="003B41B5" w:rsidRDefault="00087882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 w:rsidR="009944BD">
        <w:rPr>
          <w:sz w:val="16"/>
          <w:szCs w:val="16"/>
        </w:rPr>
        <w:t>назва</w:t>
      </w:r>
      <w:r>
        <w:rPr>
          <w:sz w:val="16"/>
          <w:szCs w:val="16"/>
        </w:rPr>
        <w:t xml:space="preserve">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11823" w:rsidRPr="00087882" w:rsidRDefault="0082796D">
      <w:pPr>
        <w:jc w:val="center"/>
        <w:rPr>
          <w:b/>
          <w:sz w:val="28"/>
          <w:szCs w:val="28"/>
        </w:rPr>
      </w:pPr>
      <w:r w:rsidRPr="00DA0FBF">
        <w:rPr>
          <w:b/>
          <w:sz w:val="28"/>
          <w:szCs w:val="28"/>
          <w:lang w:val="ru-RU"/>
        </w:rPr>
        <w:t xml:space="preserve">вибіркової </w:t>
      </w:r>
      <w:r w:rsidR="00211823" w:rsidRPr="00087882">
        <w:rPr>
          <w:b/>
          <w:sz w:val="28"/>
          <w:szCs w:val="28"/>
        </w:rPr>
        <w:t xml:space="preserve">навчальної дисципліни </w:t>
      </w:r>
    </w:p>
    <w:p w:rsidR="009E5B97" w:rsidRPr="009E5B97" w:rsidRDefault="009E5B97" w:rsidP="009E5B97">
      <w:pPr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</w:rPr>
        <w:t xml:space="preserve">підготовки </w:t>
      </w:r>
      <w:r w:rsidRPr="009E5B97">
        <w:rPr>
          <w:b/>
          <w:bCs/>
          <w:sz w:val="28"/>
          <w:szCs w:val="28"/>
          <w:u w:val="single"/>
          <w:lang w:val="ru-RU"/>
        </w:rPr>
        <w:t>_</w:t>
      </w:r>
      <w:r>
        <w:rPr>
          <w:b/>
          <w:bCs/>
          <w:sz w:val="28"/>
          <w:szCs w:val="28"/>
          <w:u w:val="single"/>
          <w:lang w:val="ru-RU"/>
        </w:rPr>
        <w:tab/>
      </w:r>
      <w:r w:rsidRPr="009E5B97">
        <w:rPr>
          <w:b/>
          <w:bCs/>
          <w:sz w:val="28"/>
          <w:szCs w:val="28"/>
          <w:u w:val="single"/>
        </w:rPr>
        <w:t>бакалавра______</w:t>
      </w:r>
      <w:r>
        <w:rPr>
          <w:b/>
          <w:bCs/>
          <w:sz w:val="28"/>
          <w:szCs w:val="28"/>
          <w:u w:val="single"/>
          <w:lang w:val="ru-RU"/>
        </w:rPr>
        <w:t>_</w:t>
      </w:r>
    </w:p>
    <w:p w:rsidR="009E5B97" w:rsidRDefault="009E5B97" w:rsidP="009E5B9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757B30" w:rsidRPr="0003766A" w:rsidRDefault="00757B30" w:rsidP="00757B3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 с</w:t>
      </w:r>
      <w:r w:rsidRPr="0003766A">
        <w:rPr>
          <w:b/>
          <w:bCs/>
          <w:sz w:val="28"/>
          <w:szCs w:val="28"/>
          <w:u w:val="single"/>
        </w:rPr>
        <w:t>пеціальн</w:t>
      </w:r>
      <w:r>
        <w:rPr>
          <w:b/>
          <w:bCs/>
          <w:sz w:val="28"/>
          <w:szCs w:val="28"/>
          <w:u w:val="single"/>
        </w:rPr>
        <w:t>істю</w:t>
      </w:r>
      <w:r w:rsidRPr="0003766A">
        <w:rPr>
          <w:b/>
          <w:bCs/>
          <w:sz w:val="28"/>
          <w:szCs w:val="28"/>
          <w:u w:val="single"/>
        </w:rPr>
        <w:t xml:space="preserve"> 035.06 Філологія (східні мови та літератури </w:t>
      </w:r>
    </w:p>
    <w:p w:rsidR="00757B30" w:rsidRPr="0003766A" w:rsidRDefault="00757B30" w:rsidP="00757B30">
      <w:pPr>
        <w:jc w:val="center"/>
        <w:rPr>
          <w:b/>
          <w:bCs/>
          <w:sz w:val="28"/>
          <w:szCs w:val="28"/>
          <w:u w:val="single"/>
        </w:rPr>
      </w:pPr>
      <w:r w:rsidRPr="0003766A">
        <w:rPr>
          <w:b/>
          <w:bCs/>
          <w:sz w:val="28"/>
          <w:szCs w:val="28"/>
          <w:u w:val="single"/>
          <w:lang w:val="ru-RU"/>
        </w:rPr>
        <w:t xml:space="preserve">(переклад включно) - </w:t>
      </w:r>
      <w:r w:rsidR="002403A2">
        <w:rPr>
          <w:b/>
          <w:bCs/>
          <w:sz w:val="28"/>
          <w:szCs w:val="28"/>
          <w:u w:val="single"/>
          <w:lang w:val="ru-RU"/>
        </w:rPr>
        <w:t>япон</w:t>
      </w:r>
      <w:r w:rsidRPr="0003766A">
        <w:rPr>
          <w:b/>
          <w:bCs/>
          <w:sz w:val="28"/>
          <w:szCs w:val="28"/>
          <w:u w:val="single"/>
          <w:lang w:val="ru-RU"/>
        </w:rPr>
        <w:t>ська)</w:t>
      </w:r>
    </w:p>
    <w:p w:rsidR="00757B30" w:rsidRDefault="00757B30" w:rsidP="00757B3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(шифр і назва спеціальності)</w:t>
      </w:r>
    </w:p>
    <w:p w:rsidR="002E025F" w:rsidRPr="002E025F" w:rsidRDefault="002E025F" w:rsidP="00C72687">
      <w:pPr>
        <w:jc w:val="center"/>
        <w:rPr>
          <w:b/>
          <w:sz w:val="28"/>
          <w:szCs w:val="28"/>
        </w:rPr>
      </w:pPr>
    </w:p>
    <w:p w:rsidR="00C72687" w:rsidRPr="008D50C0" w:rsidRDefault="00C72687" w:rsidP="00C72687">
      <w:pPr>
        <w:jc w:val="center"/>
        <w:rPr>
          <w:b/>
          <w:sz w:val="28"/>
          <w:szCs w:val="28"/>
        </w:rPr>
      </w:pP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="00307CF9" w:rsidRPr="00307CF9">
        <w:rPr>
          <w:b/>
          <w:color w:val="000000"/>
          <w:sz w:val="28"/>
          <w:szCs w:val="28"/>
          <w:u w:val="single"/>
          <w:lang w:eastAsia="uk-UA"/>
        </w:rPr>
        <w:t>5.8 в</w:t>
      </w:r>
      <w:r w:rsidRPr="008D50C0">
        <w:rPr>
          <w:b/>
          <w:sz w:val="28"/>
          <w:szCs w:val="28"/>
        </w:rPr>
        <w:t>)</w:t>
      </w: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410157" w:rsidRDefault="00410157" w:rsidP="00410157">
      <w:pPr>
        <w:jc w:val="center"/>
      </w:pPr>
      <w:r>
        <w:t>Дніпро – 2017 рік</w:t>
      </w:r>
    </w:p>
    <w:p w:rsidR="005A7D5F" w:rsidRPr="005A7D5F" w:rsidRDefault="00211823" w:rsidP="005A7D5F">
      <w:pPr>
        <w:pStyle w:val="a3"/>
        <w:rPr>
          <w:sz w:val="20"/>
        </w:rPr>
      </w:pPr>
      <w:r>
        <w:rPr>
          <w:sz w:val="20"/>
        </w:rPr>
        <w:br w:type="page"/>
      </w:r>
    </w:p>
    <w:p w:rsidR="005A7D5F" w:rsidRDefault="005A7D5F" w:rsidP="005A7D5F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РОЗРОБЛЕНО ТА ВНЕСЕНО: </w:t>
      </w:r>
      <w:r w:rsidR="008C6F4A">
        <w:rPr>
          <w:sz w:val="28"/>
          <w:szCs w:val="28"/>
          <w:u w:val="single"/>
        </w:rPr>
        <w:t>Дніпров</w:t>
      </w:r>
      <w:r>
        <w:rPr>
          <w:sz w:val="28"/>
          <w:szCs w:val="28"/>
          <w:u w:val="single"/>
        </w:rPr>
        <w:t>ським національним університетом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A7D5F" w:rsidRDefault="005A7D5F" w:rsidP="005A7D5F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імені</w:t>
      </w:r>
      <w:r>
        <w:rPr>
          <w:sz w:val="28"/>
          <w:szCs w:val="28"/>
          <w:u w:val="single"/>
        </w:rPr>
        <w:t xml:space="preserve"> Олеся Гончара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A7D5F" w:rsidRDefault="005A7D5F" w:rsidP="005A7D5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Default="00115A59" w:rsidP="00115A59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7D5F" w:rsidRPr="005A7D5F">
        <w:rPr>
          <w:u w:val="single"/>
        </w:rPr>
        <w:t>доц. Селігей В. В.</w:t>
      </w:r>
      <w:r w:rsidRPr="005A7D5F">
        <w:t>____________</w:t>
      </w:r>
      <w:r w:rsidR="005A7D5F">
        <w:t>_________________________</w:t>
      </w:r>
    </w:p>
    <w:p w:rsidR="00115A59" w:rsidRDefault="00115A59" w:rsidP="00115A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115A59" w:rsidRPr="007C6CAE" w:rsidRDefault="00115A59" w:rsidP="00115A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410157" w:rsidRDefault="00410157" w:rsidP="00410157">
      <w:pPr>
        <w:rPr>
          <w:sz w:val="22"/>
          <w:szCs w:val="22"/>
        </w:rPr>
      </w:pPr>
    </w:p>
    <w:p w:rsidR="00410157" w:rsidRDefault="00410157" w:rsidP="00410157">
      <w:pPr>
        <w:jc w:val="both"/>
        <w:rPr>
          <w:color w:val="FF0000"/>
          <w:lang w:val="ru-RU"/>
        </w:rPr>
      </w:pPr>
      <w:r>
        <w:rPr>
          <w:sz w:val="22"/>
          <w:szCs w:val="22"/>
        </w:rPr>
        <w:t xml:space="preserve">Обговорено та схвалено науково-методичною комісією </w:t>
      </w:r>
      <w:r>
        <w:rPr>
          <w:sz w:val="22"/>
          <w:szCs w:val="22"/>
          <w:lang w:val="ru-RU"/>
        </w:rPr>
        <w:t>за</w:t>
      </w:r>
      <w:r>
        <w:rPr>
          <w:sz w:val="22"/>
          <w:szCs w:val="22"/>
        </w:rPr>
        <w:t>напрямом підготовки/</w:t>
      </w:r>
      <w:r>
        <w:t>спеціальніст</w:t>
      </w:r>
      <w:r>
        <w:rPr>
          <w:lang w:val="ru-RU"/>
        </w:rPr>
        <w:t>ю</w:t>
      </w:r>
    </w:p>
    <w:p w:rsidR="00410157" w:rsidRDefault="00410157" w:rsidP="00410157">
      <w:pPr>
        <w:jc w:val="both"/>
        <w:rPr>
          <w:u w:val="single"/>
        </w:rPr>
      </w:pPr>
      <w:r>
        <w:rPr>
          <w:u w:val="single"/>
        </w:rPr>
        <w:t xml:space="preserve"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</w:t>
      </w:r>
      <w:r w:rsidR="00852A47">
        <w:rPr>
          <w:u w:val="single"/>
        </w:rPr>
        <w:t>китай</w:t>
      </w:r>
      <w:r>
        <w:rPr>
          <w:u w:val="single"/>
        </w:rPr>
        <w:t>ська, японська, англійська /переклад/)</w:t>
      </w:r>
    </w:p>
    <w:p w:rsidR="00410157" w:rsidRDefault="00410157" w:rsidP="00410157">
      <w:pPr>
        <w:rPr>
          <w:rFonts w:eastAsia="Times New Roman"/>
          <w:sz w:val="22"/>
          <w:szCs w:val="22"/>
        </w:rPr>
      </w:pPr>
    </w:p>
    <w:p w:rsidR="00410157" w:rsidRDefault="00410157" w:rsidP="00410157">
      <w:pPr>
        <w:rPr>
          <w:b/>
          <w:bCs/>
          <w:sz w:val="28"/>
          <w:szCs w:val="28"/>
        </w:rPr>
      </w:pPr>
    </w:p>
    <w:p w:rsidR="00410157" w:rsidRDefault="00410157" w:rsidP="00410157">
      <w:pPr>
        <w:rPr>
          <w:sz w:val="22"/>
          <w:szCs w:val="22"/>
        </w:rPr>
      </w:pPr>
    </w:p>
    <w:p w:rsidR="00410157" w:rsidRDefault="00410157" w:rsidP="00410157">
      <w:pPr>
        <w:jc w:val="center"/>
      </w:pPr>
      <w:r>
        <w:t>“31”  серпня 2017 року, протокол № 1</w:t>
      </w:r>
    </w:p>
    <w:p w:rsidR="00115A59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651DB5">
      <w:pPr>
        <w:rPr>
          <w:b/>
          <w:i/>
          <w:color w:val="333399"/>
          <w:sz w:val="36"/>
          <w:szCs w:val="36"/>
          <w:u w:val="single"/>
        </w:rPr>
      </w:pPr>
    </w:p>
    <w:p w:rsidR="00115A59" w:rsidRPr="00404C2E" w:rsidRDefault="00307CF9" w:rsidP="007C6CAE">
      <w:pPr>
        <w:jc w:val="center"/>
        <w:rPr>
          <w:b/>
          <w:color w:val="333399"/>
          <w:sz w:val="36"/>
          <w:szCs w:val="36"/>
        </w:rPr>
      </w:pPr>
      <w:r>
        <w:rPr>
          <w:b/>
          <w:i/>
          <w:color w:val="333399"/>
          <w:sz w:val="36"/>
          <w:szCs w:val="36"/>
          <w:u w:val="single"/>
        </w:rPr>
        <w:br w:type="page"/>
      </w:r>
    </w:p>
    <w:p w:rsidR="00211823" w:rsidRPr="007C6CAE" w:rsidRDefault="00211823" w:rsidP="007C6CAE">
      <w:pPr>
        <w:jc w:val="center"/>
        <w:rPr>
          <w:b/>
          <w:bCs/>
          <w:caps/>
        </w:rPr>
      </w:pPr>
      <w:r w:rsidRPr="007C6CAE">
        <w:rPr>
          <w:b/>
          <w:bCs/>
          <w:caps/>
        </w:rPr>
        <w:t>Вступ</w:t>
      </w:r>
    </w:p>
    <w:p w:rsidR="00560763" w:rsidRDefault="00211823" w:rsidP="00560763">
      <w:pPr>
        <w:pStyle w:val="a4"/>
        <w:ind w:left="540" w:firstLine="0"/>
        <w:jc w:val="both"/>
        <w:rPr>
          <w:sz w:val="16"/>
          <w:szCs w:val="16"/>
        </w:rPr>
      </w:pPr>
      <w:r w:rsidRPr="007C6CAE">
        <w:rPr>
          <w:sz w:val="22"/>
          <w:szCs w:val="22"/>
        </w:rPr>
        <w:t xml:space="preserve">Програма вивчення </w:t>
      </w:r>
      <w:r w:rsidR="00DA0FBF">
        <w:rPr>
          <w:sz w:val="22"/>
          <w:szCs w:val="22"/>
        </w:rPr>
        <w:t>вибіркової</w:t>
      </w:r>
      <w:r w:rsidR="00DA0FBF" w:rsidRPr="00DA0FBF">
        <w:rPr>
          <w:sz w:val="22"/>
          <w:szCs w:val="22"/>
        </w:rPr>
        <w:t xml:space="preserve"> </w:t>
      </w:r>
      <w:r w:rsidR="00087882">
        <w:rPr>
          <w:sz w:val="22"/>
          <w:szCs w:val="22"/>
        </w:rPr>
        <w:t xml:space="preserve">навчальної </w:t>
      </w:r>
      <w:r w:rsidRPr="007C6CAE">
        <w:rPr>
          <w:sz w:val="22"/>
          <w:szCs w:val="22"/>
        </w:rPr>
        <w:t xml:space="preserve">дисципліни </w:t>
      </w:r>
      <w:r w:rsidR="00307CF9">
        <w:rPr>
          <w:sz w:val="22"/>
          <w:szCs w:val="22"/>
        </w:rPr>
        <w:t>«</w:t>
      </w:r>
      <w:r w:rsidR="00307CF9" w:rsidRPr="00307CF9">
        <w:rPr>
          <w:sz w:val="24"/>
          <w:u w:val="single"/>
        </w:rPr>
        <w:t>Національна література в кроскультурній перспективі</w:t>
      </w:r>
      <w:r w:rsidR="00307CF9">
        <w:rPr>
          <w:sz w:val="24"/>
          <w:u w:val="single"/>
        </w:rPr>
        <w:t>»</w:t>
      </w:r>
      <w:r w:rsidR="00307CF9" w:rsidRPr="00DA0FBF">
        <w:rPr>
          <w:sz w:val="24"/>
          <w:u w:val="single"/>
        </w:rPr>
        <w:tab/>
      </w:r>
      <w:r w:rsidR="006818BC">
        <w:rPr>
          <w:sz w:val="22"/>
          <w:szCs w:val="22"/>
        </w:rPr>
        <w:t xml:space="preserve">складена </w:t>
      </w:r>
      <w:r w:rsidRPr="007C6CAE">
        <w:rPr>
          <w:sz w:val="22"/>
          <w:szCs w:val="22"/>
        </w:rPr>
        <w:t>відповідно до освітньо-професійної програми підготовки</w:t>
      </w:r>
      <w:r w:rsidR="002E025F">
        <w:rPr>
          <w:sz w:val="22"/>
          <w:szCs w:val="22"/>
        </w:rPr>
        <w:t xml:space="preserve"> _</w:t>
      </w:r>
      <w:r w:rsidR="006818BC">
        <w:rPr>
          <w:sz w:val="22"/>
          <w:szCs w:val="22"/>
        </w:rPr>
        <w:t>___</w:t>
      </w:r>
      <w:r w:rsidR="005A7D5F" w:rsidRPr="005A7D5F">
        <w:rPr>
          <w:sz w:val="22"/>
          <w:szCs w:val="22"/>
          <w:u w:val="single"/>
        </w:rPr>
        <w:t>бакалавра</w:t>
      </w:r>
      <w:bookmarkStart w:id="0" w:name="_GoBack"/>
      <w:r w:rsidR="00560763">
        <w:rPr>
          <w:sz w:val="22"/>
          <w:szCs w:val="22"/>
        </w:rPr>
        <w:t>_________</w:t>
      </w:r>
      <w:r w:rsidR="00560763" w:rsidRPr="0090342D">
        <w:rPr>
          <w:bCs/>
          <w:sz w:val="24"/>
          <w:u w:val="single"/>
        </w:rPr>
        <w:t>за спеціальністю 035.06 Філологія (східні мови та літератури (переклад включно) –японська)</w:t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60763">
        <w:rPr>
          <w:bCs/>
          <w:sz w:val="24"/>
          <w:u w:val="single"/>
        </w:rPr>
        <w:tab/>
      </w:r>
      <w:r w:rsidR="005A7D5F">
        <w:rPr>
          <w:sz w:val="16"/>
          <w:szCs w:val="16"/>
        </w:rPr>
        <w:tab/>
      </w:r>
    </w:p>
    <w:p w:rsidR="002E025F" w:rsidRPr="002E025F" w:rsidRDefault="002E025F" w:rsidP="00560763">
      <w:pPr>
        <w:pStyle w:val="a4"/>
        <w:ind w:left="540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(назва освітньо-кваліфікаційного рівня)</w:t>
      </w:r>
    </w:p>
    <w:bookmarkEnd w:id="0"/>
    <w:p w:rsidR="00211823" w:rsidRPr="005A7D5F" w:rsidRDefault="00211823" w:rsidP="007C6CAE">
      <w:pPr>
        <w:pStyle w:val="a4"/>
        <w:jc w:val="both"/>
        <w:rPr>
          <w:sz w:val="22"/>
          <w:szCs w:val="22"/>
        </w:rPr>
      </w:pPr>
    </w:p>
    <w:p w:rsidR="00087882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 w:rsidR="002E025F"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  <w:r w:rsidR="00087882">
        <w:rPr>
          <w:sz w:val="22"/>
          <w:szCs w:val="22"/>
        </w:rPr>
        <w:t>___</w:t>
      </w:r>
      <w:r w:rsidR="0006147D">
        <w:rPr>
          <w:sz w:val="22"/>
          <w:szCs w:val="22"/>
          <w:u w:val="single"/>
        </w:rPr>
        <w:t xml:space="preserve">еволюційні процеси в системі вень-яню, їх відображення в літературно-культурному </w:t>
      </w:r>
      <w:r w:rsidR="0042764D">
        <w:rPr>
          <w:sz w:val="22"/>
          <w:szCs w:val="22"/>
          <w:u w:val="single"/>
        </w:rPr>
        <w:tab/>
      </w:r>
      <w:r w:rsidR="0006147D">
        <w:rPr>
          <w:sz w:val="22"/>
          <w:szCs w:val="22"/>
          <w:u w:val="single"/>
        </w:rPr>
        <w:t>дискурсі</w:t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</w:p>
    <w:p w:rsidR="00087882" w:rsidRDefault="00087882" w:rsidP="007C6CA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87882" w:rsidRPr="00E675B5" w:rsidRDefault="00211823" w:rsidP="007C6CAE">
      <w:pPr>
        <w:ind w:firstLine="540"/>
        <w:jc w:val="both"/>
        <w:rPr>
          <w:sz w:val="22"/>
          <w:szCs w:val="22"/>
          <w:u w:val="single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  <w:r w:rsidR="00087882">
        <w:rPr>
          <w:sz w:val="22"/>
          <w:szCs w:val="22"/>
        </w:rPr>
        <w:t>__</w:t>
      </w:r>
      <w:r w:rsidR="00E675B5">
        <w:rPr>
          <w:sz w:val="22"/>
          <w:szCs w:val="22"/>
          <w:u w:val="single"/>
        </w:rPr>
        <w:t>«Основна іноземна мова», «</w:t>
      </w:r>
      <w:r w:rsidR="0006147D">
        <w:rPr>
          <w:sz w:val="22"/>
          <w:szCs w:val="22"/>
          <w:u w:val="single"/>
        </w:rPr>
        <w:t>Класична мова Сходу</w:t>
      </w:r>
      <w:r w:rsidR="00E675B5">
        <w:rPr>
          <w:sz w:val="22"/>
          <w:szCs w:val="22"/>
          <w:u w:val="single"/>
        </w:rPr>
        <w:t>»,  «Література країни, мова якої вивчається як ОІМ», «Вступ до спецфілології», «Нові художні тенденції та літературний процес», «Методика викладання ОІМ», «Методика викладання літератури»</w:t>
      </w:r>
      <w:r w:rsidR="00E675B5" w:rsidRPr="00E675B5">
        <w:rPr>
          <w:sz w:val="22"/>
          <w:szCs w:val="22"/>
          <w:u w:val="single"/>
        </w:rPr>
        <w:t>, «Теоретична граматика та стилістика ОІМ»</w:t>
      </w:r>
    </w:p>
    <w:p w:rsidR="00211823" w:rsidRPr="007C6CAE" w:rsidRDefault="00211823" w:rsidP="007C6CAE">
      <w:pPr>
        <w:ind w:firstLine="540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="00DA0FBF">
        <w:rPr>
          <w:sz w:val="22"/>
          <w:szCs w:val="22"/>
        </w:rPr>
        <w:t xml:space="preserve"> 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 w:rsidR="00087882"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421" w:rsidRPr="00DC73A5" w:rsidRDefault="00252421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 w:rsidRPr="00DC73A5">
        <w:rPr>
          <w:lang w:eastAsia="zh-CN"/>
        </w:rPr>
        <w:t xml:space="preserve">Класична </w:t>
      </w:r>
      <w:r w:rsidR="00520E79">
        <w:rPr>
          <w:lang w:eastAsia="zh-CN"/>
        </w:rPr>
        <w:t>япон</w:t>
      </w:r>
      <w:r w:rsidRPr="00DC73A5">
        <w:rPr>
          <w:lang w:eastAsia="zh-CN"/>
        </w:rPr>
        <w:t>ська література як об</w:t>
      </w:r>
      <w:r w:rsidRPr="00EA1A7A">
        <w:rPr>
          <w:lang w:val="ru-RU" w:eastAsia="zh-CN"/>
        </w:rPr>
        <w:t>’</w:t>
      </w:r>
      <w:r w:rsidRPr="00DC73A5">
        <w:rPr>
          <w:lang w:eastAsia="zh-CN"/>
        </w:rPr>
        <w:t>єкт компаративістики</w:t>
      </w:r>
      <w:r>
        <w:rPr>
          <w:lang w:eastAsia="zh-CN"/>
        </w:rPr>
        <w:t>.</w:t>
      </w:r>
    </w:p>
    <w:p w:rsidR="00252421" w:rsidRDefault="00252421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 w:rsidRPr="00DC73A5">
        <w:rPr>
          <w:lang w:eastAsia="zh-CN"/>
        </w:rPr>
        <w:t xml:space="preserve">Поетика </w:t>
      </w:r>
      <w:r>
        <w:rPr>
          <w:lang w:eastAsia="zh-CN"/>
        </w:rPr>
        <w:t xml:space="preserve"> романтизму та </w:t>
      </w:r>
      <w:r w:rsidRPr="00DC73A5">
        <w:rPr>
          <w:lang w:eastAsia="zh-CN"/>
        </w:rPr>
        <w:t xml:space="preserve">реалістичності </w:t>
      </w:r>
      <w:r w:rsidR="004D1807">
        <w:rPr>
          <w:lang w:eastAsia="zh-CN"/>
        </w:rPr>
        <w:t xml:space="preserve">в </w:t>
      </w:r>
      <w:r w:rsidR="00520E79">
        <w:rPr>
          <w:lang w:eastAsia="zh-CN"/>
        </w:rPr>
        <w:t>япон</w:t>
      </w:r>
      <w:r>
        <w:rPr>
          <w:lang w:eastAsia="zh-CN"/>
        </w:rPr>
        <w:t>ській літературі ХІХ ‒ І</w:t>
      </w:r>
      <w:r w:rsidRPr="00DC73A5">
        <w:rPr>
          <w:lang w:eastAsia="zh-CN"/>
        </w:rPr>
        <w:t xml:space="preserve"> пол. ХХ ст. як проблема компаративістики.</w:t>
      </w:r>
    </w:p>
    <w:p w:rsidR="00252421" w:rsidRDefault="00520E79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Япон</w:t>
      </w:r>
      <w:r w:rsidR="00252421" w:rsidRPr="00DC73A5">
        <w:rPr>
          <w:lang w:eastAsia="zh-CN"/>
        </w:rPr>
        <w:t>ська література ІІ пол. ХХ ст.</w:t>
      </w:r>
      <w:r w:rsidR="00252421">
        <w:rPr>
          <w:lang w:eastAsia="zh-CN"/>
        </w:rPr>
        <w:t>, ХХІ ст.</w:t>
      </w:r>
      <w:r w:rsidR="004D1807">
        <w:rPr>
          <w:lang w:eastAsia="zh-CN"/>
        </w:rPr>
        <w:t>в</w:t>
      </w:r>
      <w:r w:rsidR="00252421">
        <w:rPr>
          <w:lang w:eastAsia="zh-CN"/>
        </w:rPr>
        <w:t xml:space="preserve"> компаративних студіях </w:t>
      </w:r>
    </w:p>
    <w:p w:rsidR="002D7CE5" w:rsidRPr="00DC73A5" w:rsidRDefault="002D7CE5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Література </w:t>
      </w:r>
      <w:r w:rsidR="00520E79">
        <w:rPr>
          <w:lang w:eastAsia="zh-CN"/>
        </w:rPr>
        <w:t>япон</w:t>
      </w:r>
      <w:r>
        <w:rPr>
          <w:lang w:eastAsia="zh-CN"/>
        </w:rPr>
        <w:t>ської транскультурації</w:t>
      </w:r>
    </w:p>
    <w:p w:rsidR="00211823" w:rsidRPr="007C6CAE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06147D" w:rsidRDefault="00211823" w:rsidP="006526EB">
      <w:pPr>
        <w:pStyle w:val="a4"/>
        <w:jc w:val="both"/>
        <w:rPr>
          <w:lang w:eastAsia="zh-CN"/>
        </w:rPr>
      </w:pPr>
      <w:r w:rsidRPr="007C6CAE">
        <w:rPr>
          <w:sz w:val="22"/>
          <w:szCs w:val="22"/>
        </w:rPr>
        <w:t xml:space="preserve">1.1. Метою викладання </w:t>
      </w:r>
      <w:r w:rsidR="00087882">
        <w:rPr>
          <w:sz w:val="22"/>
          <w:szCs w:val="22"/>
        </w:rPr>
        <w:t>навчальної дисципліни</w:t>
      </w:r>
      <w:r w:rsidR="00307CF9">
        <w:rPr>
          <w:sz w:val="22"/>
          <w:szCs w:val="22"/>
        </w:rPr>
        <w:t>«</w:t>
      </w:r>
      <w:r w:rsidR="00307CF9" w:rsidRPr="00307CF9">
        <w:rPr>
          <w:sz w:val="24"/>
          <w:u w:val="single"/>
        </w:rPr>
        <w:t>Національна література в кроскультурній перспективі</w:t>
      </w:r>
      <w:r w:rsidR="00307CF9">
        <w:rPr>
          <w:sz w:val="24"/>
          <w:u w:val="single"/>
        </w:rPr>
        <w:t xml:space="preserve">» </w:t>
      </w:r>
      <w:r w:rsidRPr="007C6CAE">
        <w:rPr>
          <w:sz w:val="22"/>
          <w:szCs w:val="22"/>
        </w:rPr>
        <w:t>є</w:t>
      </w:r>
      <w:r w:rsidR="0006147D" w:rsidRPr="0006147D">
        <w:rPr>
          <w:sz w:val="24"/>
          <w:u w:val="single"/>
        </w:rPr>
        <w:t xml:space="preserve">фахова підготовка філологів, викладачів історії та теорії </w:t>
      </w:r>
      <w:r w:rsidR="00520E79">
        <w:rPr>
          <w:sz w:val="24"/>
          <w:u w:val="single"/>
        </w:rPr>
        <w:t>япон</w:t>
      </w:r>
      <w:r w:rsidR="0006147D" w:rsidRPr="0006147D">
        <w:rPr>
          <w:sz w:val="24"/>
          <w:u w:val="single"/>
        </w:rPr>
        <w:t>ської  мови та літератури</w:t>
      </w:r>
    </w:p>
    <w:p w:rsidR="00087882" w:rsidRDefault="00211823" w:rsidP="006526EB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1.2.Основними завданнями вивчення дисципліни </w:t>
      </w:r>
      <w:r w:rsidR="00307CF9">
        <w:rPr>
          <w:sz w:val="22"/>
          <w:szCs w:val="22"/>
        </w:rPr>
        <w:t>«</w:t>
      </w:r>
      <w:r w:rsidR="00307CF9" w:rsidRPr="00307CF9">
        <w:rPr>
          <w:sz w:val="24"/>
          <w:u w:val="single"/>
        </w:rPr>
        <w:t>Національна література в кроскультурній перспективі</w:t>
      </w:r>
      <w:r w:rsidR="00307CF9">
        <w:rPr>
          <w:sz w:val="24"/>
          <w:u w:val="single"/>
        </w:rPr>
        <w:t xml:space="preserve">» </w:t>
      </w:r>
      <w:r w:rsidRPr="007C6CAE">
        <w:rPr>
          <w:sz w:val="22"/>
          <w:szCs w:val="22"/>
        </w:rPr>
        <w:t xml:space="preserve">є </w:t>
      </w:r>
      <w:r w:rsidR="003C2BF7" w:rsidRPr="003C2BF7">
        <w:rPr>
          <w:sz w:val="22"/>
          <w:szCs w:val="22"/>
          <w:u w:val="single"/>
        </w:rPr>
        <w:t xml:space="preserve">ознайомлення з ключовими </w:t>
      </w:r>
      <w:r w:rsidR="00E768DD">
        <w:rPr>
          <w:sz w:val="22"/>
          <w:szCs w:val="22"/>
          <w:u w:val="single"/>
        </w:rPr>
        <w:t xml:space="preserve">проблемами та підходами до вивчення </w:t>
      </w:r>
      <w:r w:rsidR="00520E79">
        <w:rPr>
          <w:sz w:val="22"/>
          <w:szCs w:val="22"/>
          <w:u w:val="single"/>
        </w:rPr>
        <w:t>япон</w:t>
      </w:r>
      <w:r w:rsidR="00E768DD">
        <w:rPr>
          <w:sz w:val="22"/>
          <w:szCs w:val="22"/>
          <w:u w:val="single"/>
        </w:rPr>
        <w:t xml:space="preserve">ської літератури у трансцивілізаційній та кроскультурній перспективі, опанування навичок порівняльно-компаративного аналізу творів  давньої, класичної та сучасної </w:t>
      </w:r>
      <w:r w:rsidR="00520E79">
        <w:rPr>
          <w:sz w:val="22"/>
          <w:szCs w:val="22"/>
          <w:u w:val="single"/>
        </w:rPr>
        <w:t>япон</w:t>
      </w:r>
      <w:r w:rsidR="00E768DD">
        <w:rPr>
          <w:sz w:val="22"/>
          <w:szCs w:val="22"/>
          <w:u w:val="single"/>
        </w:rPr>
        <w:t xml:space="preserve">ської літератури. </w:t>
      </w:r>
    </w:p>
    <w:p w:rsidR="00211823" w:rsidRPr="007C6CAE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11823" w:rsidRDefault="00211823" w:rsidP="007C6CAE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t xml:space="preserve">ключові проблеми компаративного дослідження </w:t>
      </w:r>
      <w:r>
        <w:rPr>
          <w:lang w:eastAsia="zh-CN"/>
        </w:rPr>
        <w:t>япон</w:t>
      </w:r>
      <w:r w:rsidRPr="00E149E3">
        <w:rPr>
          <w:lang w:eastAsia="zh-CN"/>
        </w:rPr>
        <w:t>сько</w:t>
      </w:r>
      <w:r>
        <w:rPr>
          <w:lang w:eastAsia="zh-CN"/>
        </w:rPr>
        <w:t>ї літератури в</w:t>
      </w:r>
      <w:r w:rsidRPr="00E149E3">
        <w:rPr>
          <w:lang w:eastAsia="zh-CN"/>
        </w:rPr>
        <w:t xml:space="preserve"> перспективі компаративних студій, у контексті теорій типологічних та генологічних аналогій;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 xml:space="preserve">особливості зіставлення класичної </w:t>
      </w:r>
      <w:r>
        <w:rPr>
          <w:lang w:eastAsia="zh-CN"/>
        </w:rPr>
        <w:t>япон</w:t>
      </w:r>
      <w:r w:rsidRPr="00E149E3">
        <w:rPr>
          <w:lang w:eastAsia="zh-CN"/>
        </w:rPr>
        <w:t>ської та порівняльно-типологічної періодизацій поетичної творчості;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 xml:space="preserve">особливості компаративно-контрастивного дослідження класичної </w:t>
      </w:r>
      <w:r>
        <w:rPr>
          <w:lang w:eastAsia="zh-CN"/>
        </w:rPr>
        <w:t>япон</w:t>
      </w:r>
      <w:r w:rsidRPr="00E149E3">
        <w:rPr>
          <w:lang w:eastAsia="zh-CN"/>
        </w:rPr>
        <w:t xml:space="preserve">ської поезії </w:t>
      </w:r>
      <w:r w:rsidR="00720E0A">
        <w:rPr>
          <w:lang w:eastAsia="zh-CN"/>
        </w:rPr>
        <w:t>в</w:t>
      </w:r>
      <w:r w:rsidRPr="00E149E3">
        <w:rPr>
          <w:lang w:eastAsia="zh-CN"/>
        </w:rPr>
        <w:t xml:space="preserve"> контексті всесвітньої літератури;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 xml:space="preserve">риси тематичної й семантичної своєрідності </w:t>
      </w:r>
      <w:r>
        <w:rPr>
          <w:lang w:eastAsia="zh-CN"/>
        </w:rPr>
        <w:t>япон</w:t>
      </w:r>
      <w:r w:rsidRPr="00E149E3">
        <w:rPr>
          <w:lang w:eastAsia="zh-CN"/>
        </w:rPr>
        <w:t xml:space="preserve">ської поетичної традиції </w:t>
      </w:r>
      <w:r w:rsidR="00720E0A">
        <w:rPr>
          <w:lang w:eastAsia="zh-CN"/>
        </w:rPr>
        <w:t>в</w:t>
      </w:r>
      <w:r w:rsidRPr="00E149E3">
        <w:rPr>
          <w:lang w:eastAsia="zh-CN"/>
        </w:rPr>
        <w:t xml:space="preserve"> контексті компаративного дослідження;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 xml:space="preserve">поетико-стилістичні, тематично-семантичні аспекти порівняльного вивчення </w:t>
      </w:r>
      <w:r>
        <w:rPr>
          <w:lang w:eastAsia="zh-CN"/>
        </w:rPr>
        <w:t>поетики й семантики японського театру</w:t>
      </w:r>
      <w:r w:rsidRPr="00E149E3">
        <w:rPr>
          <w:lang w:eastAsia="zh-CN"/>
        </w:rPr>
        <w:t xml:space="preserve">; 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 xml:space="preserve">особливості становлення художнього дискурсу в </w:t>
      </w:r>
      <w:r>
        <w:rPr>
          <w:lang w:eastAsia="zh-CN"/>
        </w:rPr>
        <w:t>япон</w:t>
      </w:r>
      <w:r w:rsidRPr="00E149E3">
        <w:rPr>
          <w:lang w:eastAsia="zh-CN"/>
        </w:rPr>
        <w:t xml:space="preserve">ській літературі, порівняльної жанрології </w:t>
      </w:r>
      <w:r>
        <w:rPr>
          <w:lang w:eastAsia="zh-CN"/>
        </w:rPr>
        <w:t>середнь</w:t>
      </w:r>
      <w:r w:rsidR="00B87E4F">
        <w:rPr>
          <w:lang w:eastAsia="zh-CN"/>
        </w:rPr>
        <w:t>о</w:t>
      </w:r>
      <w:r>
        <w:rPr>
          <w:lang w:eastAsia="zh-CN"/>
        </w:rPr>
        <w:t>вічної японської прози</w:t>
      </w:r>
      <w:r w:rsidRPr="00E149E3">
        <w:rPr>
          <w:lang w:eastAsia="zh-CN"/>
        </w:rPr>
        <w:t xml:space="preserve">; </w:t>
      </w:r>
    </w:p>
    <w:p w:rsidR="00247831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>міфопоетичні та філософсько-естетичні аспекти семантики в</w:t>
      </w:r>
      <w:r>
        <w:rPr>
          <w:lang w:eastAsia="zh-CN"/>
        </w:rPr>
        <w:t xml:space="preserve"> літературі </w:t>
      </w:r>
      <w:r w:rsidR="00B87E4F">
        <w:rPr>
          <w:lang w:eastAsia="zh-CN"/>
        </w:rPr>
        <w:t>Токугава й Мейцзі.</w:t>
      </w:r>
    </w:p>
    <w:p w:rsidR="00247831" w:rsidRPr="00E149E3" w:rsidRDefault="00247831" w:rsidP="00247831">
      <w:pPr>
        <w:numPr>
          <w:ilvl w:val="0"/>
          <w:numId w:val="25"/>
        </w:numPr>
        <w:ind w:left="709" w:hanging="425"/>
        <w:jc w:val="both"/>
      </w:pPr>
      <w:r w:rsidRPr="00E149E3">
        <w:rPr>
          <w:lang w:eastAsia="zh-CN"/>
        </w:rPr>
        <w:t xml:space="preserve">ключові категорії й концепції компаративного дослідження </w:t>
      </w:r>
      <w:r>
        <w:rPr>
          <w:lang w:eastAsia="zh-CN"/>
        </w:rPr>
        <w:t>япон</w:t>
      </w:r>
      <w:r w:rsidRPr="00E149E3">
        <w:rPr>
          <w:lang w:eastAsia="zh-CN"/>
        </w:rPr>
        <w:t xml:space="preserve">ської літератури ХХ ст. </w:t>
      </w: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читати та перекладати</w:t>
      </w:r>
      <w:r w:rsidR="006D5A41">
        <w:t>, в обсязі, визначеному вимогами дисципліни,  поетичні та прозові твори;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 xml:space="preserve">працювати з науковими текстами </w:t>
      </w:r>
      <w:r w:rsidR="00520E79">
        <w:t>япон</w:t>
      </w:r>
      <w:r>
        <w:t xml:space="preserve">ською мовою, присвяченими вивченню класичної поезії та прози </w:t>
      </w:r>
      <w:r w:rsidR="00247831">
        <w:t>Японії</w:t>
      </w:r>
      <w:r w:rsidR="006D5A41">
        <w:t>;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аналітично розглядати лексико-граматичні особливості найвідоміших творів</w:t>
      </w:r>
    </w:p>
    <w:p w:rsidR="003C2BF7" w:rsidRDefault="00FC49C2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 xml:space="preserve">здійснювати самостійне компаративне </w:t>
      </w:r>
      <w:r w:rsidR="003C2BF7">
        <w:t xml:space="preserve">дослідження з приводу лексико-граматичної, стилістичної, композиційної своєрідності творчості того чи іншого письменника або поета. </w:t>
      </w:r>
    </w:p>
    <w:p w:rsidR="00211823" w:rsidRPr="007C6CAE" w:rsidRDefault="00211823" w:rsidP="007C6CAE">
      <w:pPr>
        <w:ind w:left="900"/>
        <w:jc w:val="both"/>
        <w:rPr>
          <w:sz w:val="22"/>
          <w:szCs w:val="22"/>
        </w:rPr>
      </w:pPr>
    </w:p>
    <w:p w:rsidR="00211823" w:rsidRPr="007C6CAE" w:rsidRDefault="00211823" w:rsidP="007C6CAE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 w:rsidR="00087882"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 w:rsidR="00087882">
        <w:rPr>
          <w:sz w:val="22"/>
          <w:szCs w:val="22"/>
        </w:rPr>
        <w:t>____</w:t>
      </w:r>
      <w:r w:rsidR="00307CF9">
        <w:rPr>
          <w:sz w:val="22"/>
          <w:szCs w:val="22"/>
          <w:u w:val="single"/>
        </w:rPr>
        <w:t>18</w:t>
      </w:r>
      <w:r w:rsidR="003C2BF7">
        <w:rPr>
          <w:sz w:val="22"/>
          <w:szCs w:val="22"/>
          <w:u w:val="single"/>
        </w:rPr>
        <w:t>0</w:t>
      </w:r>
      <w:r w:rsidR="00087882">
        <w:rPr>
          <w:sz w:val="22"/>
          <w:szCs w:val="22"/>
        </w:rPr>
        <w:t>___</w:t>
      </w:r>
      <w:r w:rsidRPr="007C6CAE">
        <w:rPr>
          <w:sz w:val="22"/>
          <w:szCs w:val="22"/>
        </w:rPr>
        <w:t xml:space="preserve"> години</w:t>
      </w:r>
      <w:r w:rsidR="005B1796" w:rsidRPr="005B1796">
        <w:rPr>
          <w:sz w:val="22"/>
          <w:szCs w:val="22"/>
          <w:lang w:val="ru-RU"/>
        </w:rPr>
        <w:t>/</w:t>
      </w:r>
      <w:r w:rsidR="00087882">
        <w:rPr>
          <w:sz w:val="22"/>
          <w:szCs w:val="22"/>
          <w:lang w:val="ru-RU"/>
        </w:rPr>
        <w:t>___</w:t>
      </w:r>
      <w:r w:rsidR="00307CF9">
        <w:rPr>
          <w:sz w:val="22"/>
          <w:szCs w:val="22"/>
          <w:u w:val="single"/>
          <w:lang w:val="ru-RU"/>
        </w:rPr>
        <w:t>6</w:t>
      </w:r>
      <w:r w:rsidR="003C2BF7">
        <w:rPr>
          <w:sz w:val="22"/>
          <w:szCs w:val="22"/>
          <w:u w:val="single"/>
          <w:lang w:val="ru-RU"/>
        </w:rPr>
        <w:t>,</w:t>
      </w:r>
      <w:r w:rsidR="00410157">
        <w:rPr>
          <w:sz w:val="22"/>
          <w:szCs w:val="22"/>
          <w:u w:val="single"/>
          <w:lang w:val="ru-RU"/>
        </w:rPr>
        <w:t>0</w:t>
      </w:r>
      <w:r w:rsidR="00087882">
        <w:rPr>
          <w:sz w:val="22"/>
          <w:szCs w:val="22"/>
          <w:lang w:val="ru-RU"/>
        </w:rPr>
        <w:t>_____</w:t>
      </w:r>
      <w:r w:rsidR="005B1796">
        <w:rPr>
          <w:sz w:val="22"/>
          <w:szCs w:val="22"/>
        </w:rPr>
        <w:t>кр</w:t>
      </w:r>
      <w:r w:rsidR="00087882">
        <w:rPr>
          <w:sz w:val="22"/>
          <w:szCs w:val="22"/>
        </w:rPr>
        <w:t>едит</w:t>
      </w:r>
      <w:r w:rsidR="006526EB">
        <w:rPr>
          <w:sz w:val="22"/>
          <w:szCs w:val="22"/>
        </w:rPr>
        <w:t>и</w:t>
      </w:r>
      <w:r w:rsidR="00087882"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11823" w:rsidRPr="007C6CAE" w:rsidRDefault="00176656" w:rsidP="007C6CAE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11823" w:rsidRDefault="00211823" w:rsidP="007C6CAE">
      <w:pPr>
        <w:ind w:firstLine="540"/>
        <w:jc w:val="both"/>
        <w:rPr>
          <w:sz w:val="22"/>
          <w:szCs w:val="22"/>
          <w:lang w:eastAsia="zh-CN"/>
        </w:rPr>
      </w:pPr>
      <w:r w:rsidRPr="007C6CAE">
        <w:rPr>
          <w:b/>
          <w:bCs/>
          <w:sz w:val="22"/>
          <w:szCs w:val="22"/>
          <w:lang w:eastAsia="zh-CN"/>
        </w:rPr>
        <w:t>2. Інформаційний обсяг</w:t>
      </w:r>
      <w:r w:rsidR="002E025F" w:rsidRPr="002E025F">
        <w:rPr>
          <w:b/>
          <w:sz w:val="22"/>
          <w:szCs w:val="22"/>
          <w:lang w:eastAsia="zh-CN"/>
        </w:rPr>
        <w:t>навчальної</w:t>
      </w:r>
      <w:r w:rsidRPr="007C6CAE">
        <w:rPr>
          <w:b/>
          <w:bCs/>
          <w:sz w:val="22"/>
          <w:szCs w:val="22"/>
          <w:lang w:eastAsia="zh-CN"/>
        </w:rPr>
        <w:t xml:space="preserve"> дисципліни</w:t>
      </w:r>
    </w:p>
    <w:p w:rsidR="00DF1F73" w:rsidRPr="007C6CAE" w:rsidRDefault="00DF1F73" w:rsidP="007C6CAE">
      <w:pPr>
        <w:ind w:firstLine="540"/>
        <w:jc w:val="both"/>
        <w:rPr>
          <w:sz w:val="22"/>
          <w:szCs w:val="22"/>
          <w:lang w:eastAsia="zh-CN"/>
        </w:rPr>
      </w:pPr>
    </w:p>
    <w:p w:rsidR="00252421" w:rsidRPr="00651DB5" w:rsidRDefault="00252421" w:rsidP="00252421">
      <w:pPr>
        <w:contextualSpacing/>
        <w:jc w:val="both"/>
        <w:rPr>
          <w:b/>
          <w:lang w:eastAsia="zh-CN"/>
        </w:rPr>
      </w:pPr>
      <w:r w:rsidRPr="00176656">
        <w:rPr>
          <w:b/>
          <w:lang w:eastAsia="zh-CN"/>
        </w:rPr>
        <w:t xml:space="preserve">Змістовий модуль </w:t>
      </w:r>
      <w:r w:rsidR="002D7CE5" w:rsidRPr="00176656">
        <w:rPr>
          <w:b/>
          <w:lang w:eastAsia="zh-CN"/>
        </w:rPr>
        <w:t>1</w:t>
      </w:r>
      <w:r w:rsidRPr="00176656">
        <w:rPr>
          <w:b/>
          <w:lang w:eastAsia="zh-CN"/>
        </w:rPr>
        <w:t xml:space="preserve">. </w:t>
      </w:r>
      <w:r w:rsidRPr="00651DB5">
        <w:rPr>
          <w:b/>
          <w:lang w:eastAsia="zh-CN"/>
        </w:rPr>
        <w:t xml:space="preserve">Класична </w:t>
      </w:r>
      <w:r w:rsidR="00520E79">
        <w:rPr>
          <w:b/>
          <w:lang w:eastAsia="zh-CN"/>
        </w:rPr>
        <w:t>япон</w:t>
      </w:r>
      <w:r w:rsidRPr="00651DB5">
        <w:rPr>
          <w:b/>
          <w:lang w:eastAsia="zh-CN"/>
        </w:rPr>
        <w:t>ська література як об</w:t>
      </w:r>
      <w:r w:rsidRPr="00651DB5">
        <w:rPr>
          <w:b/>
          <w:lang w:val="ru-RU" w:eastAsia="zh-CN"/>
        </w:rPr>
        <w:t>’</w:t>
      </w:r>
      <w:r w:rsidRPr="00651DB5">
        <w:rPr>
          <w:b/>
          <w:lang w:eastAsia="zh-CN"/>
        </w:rPr>
        <w:t>єкт компаративістики.</w:t>
      </w:r>
    </w:p>
    <w:p w:rsidR="00252421" w:rsidRPr="00176656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Тема 1</w:t>
      </w:r>
      <w:r w:rsidRPr="00176656">
        <w:rPr>
          <w:lang w:eastAsia="zh-CN"/>
        </w:rPr>
        <w:t xml:space="preserve">. </w:t>
      </w:r>
      <w:r w:rsidR="00520E79">
        <w:rPr>
          <w:b/>
          <w:lang w:eastAsia="zh-CN"/>
        </w:rPr>
        <w:t>Япон</w:t>
      </w:r>
      <w:r w:rsidRPr="00176656">
        <w:rPr>
          <w:b/>
          <w:lang w:eastAsia="zh-CN"/>
        </w:rPr>
        <w:t xml:space="preserve">ський </w:t>
      </w:r>
      <w:r w:rsidR="006E17C8">
        <w:rPr>
          <w:b/>
          <w:lang w:eastAsia="zh-CN"/>
        </w:rPr>
        <w:t>міфопоетичний канон</w:t>
      </w:r>
      <w:r w:rsidRPr="00176656">
        <w:rPr>
          <w:b/>
          <w:lang w:eastAsia="zh-CN"/>
        </w:rPr>
        <w:t xml:space="preserve"> як обʼєкт компаративних студій. </w:t>
      </w:r>
      <w:r w:rsidRPr="00176656">
        <w:rPr>
          <w:lang w:eastAsia="zh-CN"/>
        </w:rPr>
        <w:t>Проблематика типологічних аналогій, генологічна проблематика у дослідженнях давньої прози</w:t>
      </w:r>
      <w:r w:rsidR="006E17C8">
        <w:rPr>
          <w:lang w:eastAsia="zh-CN"/>
        </w:rPr>
        <w:t xml:space="preserve"> та поезії, «Кодзікі», «Ніхоншьокі</w:t>
      </w:r>
      <w:r w:rsidRPr="00176656">
        <w:rPr>
          <w:lang w:eastAsia="zh-CN"/>
        </w:rPr>
        <w:t>»</w:t>
      </w:r>
      <w:r w:rsidR="006E17C8">
        <w:rPr>
          <w:lang w:eastAsia="zh-CN"/>
        </w:rPr>
        <w:t>, «Фудокі», «Маньйошю»</w:t>
      </w:r>
      <w:r w:rsidRPr="00176656">
        <w:rPr>
          <w:lang w:eastAsia="zh-CN"/>
        </w:rPr>
        <w:t xml:space="preserve">. </w:t>
      </w:r>
      <w:r w:rsidR="006E17C8">
        <w:rPr>
          <w:lang w:eastAsia="zh-CN"/>
        </w:rPr>
        <w:t xml:space="preserve"> Щоденникова л</w:t>
      </w:r>
      <w:r w:rsidRPr="00176656">
        <w:rPr>
          <w:lang w:eastAsia="zh-CN"/>
        </w:rPr>
        <w:t>ітература</w:t>
      </w:r>
      <w:r w:rsidR="006E17C8">
        <w:rPr>
          <w:lang w:eastAsia="zh-CN"/>
        </w:rPr>
        <w:t xml:space="preserve"> (ніккі, шю, моногатарі)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 xml:space="preserve">ської давнини в рецепції західної порівняльно-типологічної школи. </w:t>
      </w:r>
    </w:p>
    <w:p w:rsidR="00252421" w:rsidRPr="00176656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 xml:space="preserve">Тема 2.Класична й середньовічна поезія </w:t>
      </w:r>
      <w:r w:rsidR="006E17C8">
        <w:rPr>
          <w:b/>
          <w:lang w:eastAsia="zh-CN"/>
        </w:rPr>
        <w:t>Японії</w:t>
      </w:r>
      <w:r w:rsidRPr="00176656">
        <w:rPr>
          <w:b/>
          <w:lang w:eastAsia="zh-CN"/>
        </w:rPr>
        <w:t xml:space="preserve"> в компаративній перспективі</w:t>
      </w:r>
      <w:r w:rsidRPr="00176656">
        <w:rPr>
          <w:lang w:eastAsia="zh-CN"/>
        </w:rPr>
        <w:t xml:space="preserve">.  Класична 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 xml:space="preserve">ська та порівняльно-типологічна періодизація поетичної творчості. Канонічна поетика як обʼєкт порівняльного вивчення. Компаративно-контрастивне дослідження класичної 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 xml:space="preserve">ської поезії у контексті всесвітньої літератури. Тематична й семантична своєрідність 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 xml:space="preserve">ської поетичної традиції в 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 xml:space="preserve">ських та зарубіжних компаративних дослідженнях. </w:t>
      </w:r>
    </w:p>
    <w:p w:rsidR="00252421" w:rsidRPr="00176656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Тема 3.</w:t>
      </w:r>
      <w:r w:rsidR="006E17C8">
        <w:rPr>
          <w:b/>
          <w:lang w:eastAsia="zh-CN"/>
        </w:rPr>
        <w:t xml:space="preserve"> Японська проза та японський театр</w:t>
      </w:r>
      <w:r w:rsidRPr="00176656">
        <w:rPr>
          <w:b/>
          <w:lang w:eastAsia="zh-CN"/>
        </w:rPr>
        <w:t>.</w:t>
      </w:r>
      <w:r w:rsidR="00DA0FBF" w:rsidRPr="00DA0FBF">
        <w:rPr>
          <w:b/>
          <w:lang w:val="ru-RU" w:eastAsia="zh-CN"/>
        </w:rPr>
        <w:t xml:space="preserve"> </w:t>
      </w:r>
      <w:r w:rsidRPr="00176656">
        <w:rPr>
          <w:lang w:eastAsia="zh-CN"/>
        </w:rPr>
        <w:t>Проблематика пор</w:t>
      </w:r>
      <w:r w:rsidR="006E17C8">
        <w:rPr>
          <w:lang w:eastAsia="zh-CN"/>
        </w:rPr>
        <w:t>івняльного вивчення прози японського середньовіччя</w:t>
      </w:r>
      <w:r w:rsidRPr="00176656">
        <w:rPr>
          <w:lang w:eastAsia="zh-CN"/>
        </w:rPr>
        <w:t xml:space="preserve">. Поетико-стилістичні та тематично-семантичні аспекти порівняльного вивчення творів </w:t>
      </w:r>
      <w:r w:rsidR="006E17C8">
        <w:rPr>
          <w:lang w:eastAsia="zh-CN"/>
        </w:rPr>
        <w:t>но, цзьйорурі, кабукі</w:t>
      </w:r>
      <w:r w:rsidRPr="00176656">
        <w:rPr>
          <w:lang w:eastAsia="zh-CN"/>
        </w:rPr>
        <w:t xml:space="preserve">.. Становлення художнього дискурсу в </w:t>
      </w:r>
      <w:r w:rsidR="006E17C8">
        <w:rPr>
          <w:lang w:eastAsia="zh-CN"/>
        </w:rPr>
        <w:t xml:space="preserve"> новій 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 xml:space="preserve">ській літературі. Порівняльна жанрологія </w:t>
      </w:r>
      <w:r w:rsidR="00520E79">
        <w:rPr>
          <w:lang w:eastAsia="zh-CN"/>
        </w:rPr>
        <w:t>япон</w:t>
      </w:r>
      <w:r w:rsidRPr="00176656">
        <w:rPr>
          <w:lang w:eastAsia="zh-CN"/>
        </w:rPr>
        <w:t>ського роману. Міфопоетичні та філософсь</w:t>
      </w:r>
      <w:r w:rsidR="006E17C8">
        <w:rPr>
          <w:lang w:eastAsia="zh-CN"/>
        </w:rPr>
        <w:t>ко-естетичні аспекти семантики  в літературі Едо</w:t>
      </w:r>
      <w:r w:rsidRPr="00176656">
        <w:rPr>
          <w:lang w:eastAsia="zh-CN"/>
        </w:rPr>
        <w:t>.</w:t>
      </w:r>
    </w:p>
    <w:p w:rsidR="00252421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Змістовий</w:t>
      </w:r>
      <w:r w:rsidRPr="00723425">
        <w:rPr>
          <w:b/>
          <w:lang w:eastAsia="zh-CN"/>
        </w:rPr>
        <w:t xml:space="preserve"> модуль </w:t>
      </w:r>
      <w:r w:rsidR="002D7CE5">
        <w:rPr>
          <w:b/>
          <w:lang w:eastAsia="zh-CN"/>
        </w:rPr>
        <w:t>2</w:t>
      </w:r>
      <w:r>
        <w:rPr>
          <w:b/>
          <w:lang w:eastAsia="zh-CN"/>
        </w:rPr>
        <w:t>.</w:t>
      </w:r>
      <w:r w:rsidR="00602AC3">
        <w:rPr>
          <w:b/>
          <w:lang w:eastAsia="zh-CN"/>
        </w:rPr>
        <w:t xml:space="preserve">Поетика </w:t>
      </w:r>
      <w:r w:rsidRPr="00651DB5">
        <w:rPr>
          <w:b/>
          <w:lang w:eastAsia="zh-CN"/>
        </w:rPr>
        <w:t xml:space="preserve">романтизму та реалістичності </w:t>
      </w:r>
      <w:r w:rsidR="004D1807">
        <w:rPr>
          <w:b/>
          <w:lang w:eastAsia="zh-CN"/>
        </w:rPr>
        <w:t>в</w:t>
      </w:r>
      <w:r w:rsidR="00520E79">
        <w:rPr>
          <w:b/>
          <w:lang w:eastAsia="zh-CN"/>
        </w:rPr>
        <w:t>япон</w:t>
      </w:r>
      <w:r w:rsidRPr="00651DB5">
        <w:rPr>
          <w:b/>
          <w:lang w:eastAsia="zh-CN"/>
        </w:rPr>
        <w:t xml:space="preserve">ській літературі ХІХ ‒ І пол. ХХ ст. як проблема компаративістики. </w:t>
      </w:r>
    </w:p>
    <w:p w:rsidR="00252421" w:rsidRDefault="00252421" w:rsidP="00252421">
      <w:pPr>
        <w:contextualSpacing/>
        <w:jc w:val="both"/>
        <w:rPr>
          <w:lang w:eastAsia="zh-CN"/>
        </w:rPr>
      </w:pPr>
      <w:r w:rsidRPr="00723425">
        <w:rPr>
          <w:b/>
          <w:lang w:eastAsia="zh-CN"/>
        </w:rPr>
        <w:t>Тема 1.</w:t>
      </w:r>
      <w:r w:rsidRPr="00651DB5">
        <w:rPr>
          <w:b/>
          <w:lang w:eastAsia="zh-CN"/>
        </w:rPr>
        <w:t>Особливості художнього та критико-аналітичного осмислення діалогу Схід-Захід.</w:t>
      </w:r>
      <w:r>
        <w:rPr>
          <w:lang w:eastAsia="zh-CN"/>
        </w:rPr>
        <w:t xml:space="preserve"> Творчість </w:t>
      </w:r>
      <w:r w:rsidR="006E17C8">
        <w:rPr>
          <w:lang w:eastAsia="zh-CN"/>
        </w:rPr>
        <w:t>Кавабата Ясунарі, Морі Огая, Нацуме Сосекі, Акутагава Рюноске.</w:t>
      </w:r>
    </w:p>
    <w:p w:rsidR="00252421" w:rsidRPr="00761018" w:rsidRDefault="00252421" w:rsidP="00252421">
      <w:pPr>
        <w:contextualSpacing/>
        <w:jc w:val="both"/>
        <w:rPr>
          <w:sz w:val="28"/>
          <w:szCs w:val="28"/>
          <w:lang w:eastAsia="zh-CN"/>
        </w:rPr>
      </w:pPr>
      <w:r w:rsidRPr="00651DB5">
        <w:rPr>
          <w:b/>
          <w:lang w:eastAsia="zh-CN"/>
        </w:rPr>
        <w:t xml:space="preserve">Тема 2.  Проблематика </w:t>
      </w:r>
      <w:r w:rsidR="00520E79">
        <w:rPr>
          <w:b/>
          <w:lang w:eastAsia="zh-CN"/>
        </w:rPr>
        <w:t>его-роману та его-беллетристики</w:t>
      </w:r>
      <w:r w:rsidR="002D4B88" w:rsidRPr="00651DB5">
        <w:rPr>
          <w:b/>
          <w:lang w:eastAsia="zh-CN"/>
        </w:rPr>
        <w:t>.</w:t>
      </w:r>
      <w:r w:rsidR="002D4B88">
        <w:rPr>
          <w:lang w:eastAsia="zh-CN"/>
        </w:rPr>
        <w:t xml:space="preserve"> Творчість</w:t>
      </w:r>
      <w:r w:rsidR="006E17C8">
        <w:rPr>
          <w:lang w:eastAsia="zh-CN"/>
        </w:rPr>
        <w:t xml:space="preserve"> Шімацзакі Тосона, Таяма Катая, Шіга Наоя, Дадзай Осаму </w:t>
      </w:r>
      <w:r w:rsidR="00042AF9">
        <w:rPr>
          <w:lang w:eastAsia="zh-CN"/>
        </w:rPr>
        <w:t xml:space="preserve">в </w:t>
      </w:r>
      <w:r w:rsidR="00AC1760">
        <w:rPr>
          <w:lang w:eastAsia="zh-CN"/>
        </w:rPr>
        <w:t xml:space="preserve">компаративній перспективі </w:t>
      </w:r>
    </w:p>
    <w:p w:rsidR="003C2BF7" w:rsidRPr="00651DB5" w:rsidRDefault="003C2BF7" w:rsidP="00AC1760">
      <w:pPr>
        <w:widowControl w:val="0"/>
        <w:autoSpaceDE w:val="0"/>
        <w:autoSpaceDN w:val="0"/>
        <w:adjustRightInd w:val="0"/>
        <w:rPr>
          <w:b/>
          <w:lang w:eastAsia="zh-CN"/>
        </w:rPr>
      </w:pPr>
      <w:r>
        <w:rPr>
          <w:b/>
          <w:lang w:eastAsia="zh-CN"/>
        </w:rPr>
        <w:t>Змістовий модуль 3.</w:t>
      </w:r>
      <w:r w:rsidR="00520E79">
        <w:rPr>
          <w:b/>
          <w:lang w:eastAsia="zh-CN"/>
        </w:rPr>
        <w:t>Япон</w:t>
      </w:r>
      <w:r w:rsidR="002D7CE5" w:rsidRPr="00651DB5">
        <w:rPr>
          <w:b/>
          <w:lang w:eastAsia="zh-CN"/>
        </w:rPr>
        <w:t>ська література ІІ пол. ХХ ст., ХХІ ст. у компаративних студіях</w:t>
      </w:r>
      <w:r w:rsidR="00651DB5" w:rsidRPr="00651DB5">
        <w:rPr>
          <w:b/>
          <w:lang w:eastAsia="zh-CN"/>
        </w:rPr>
        <w:t>.</w:t>
      </w:r>
    </w:p>
    <w:p w:rsidR="00520E79" w:rsidRDefault="003C2BF7" w:rsidP="003C2BF7">
      <w:pPr>
        <w:contextualSpacing/>
        <w:rPr>
          <w:lang w:eastAsia="zh-CN"/>
        </w:rPr>
      </w:pPr>
      <w:r>
        <w:rPr>
          <w:b/>
          <w:lang w:eastAsia="zh-CN"/>
        </w:rPr>
        <w:t>Тема 1</w:t>
      </w:r>
      <w:r>
        <w:rPr>
          <w:lang w:eastAsia="zh-CN"/>
        </w:rPr>
        <w:t xml:space="preserve">. </w:t>
      </w:r>
      <w:r w:rsidR="00AC1760" w:rsidRPr="00651DB5">
        <w:rPr>
          <w:b/>
          <w:lang w:eastAsia="zh-CN"/>
        </w:rPr>
        <w:t xml:space="preserve">Транскультурна перспектива </w:t>
      </w:r>
      <w:r w:rsidR="00520E79">
        <w:rPr>
          <w:b/>
          <w:lang w:eastAsia="zh-CN"/>
        </w:rPr>
        <w:t xml:space="preserve">освоєння  японської художньої традиції. </w:t>
      </w:r>
      <w:r w:rsidR="00AC1760">
        <w:rPr>
          <w:lang w:eastAsia="zh-CN"/>
        </w:rPr>
        <w:t>Творчість</w:t>
      </w:r>
      <w:r w:rsidR="00520E79">
        <w:rPr>
          <w:lang w:eastAsia="zh-CN"/>
        </w:rPr>
        <w:t xml:space="preserve">Таніцзакі Цзюньітіро, Кенцзабуро Ое, Місіма Юкіо, </w:t>
      </w:r>
    </w:p>
    <w:p w:rsidR="003C2BF7" w:rsidRDefault="003C2BF7" w:rsidP="003C2BF7">
      <w:pPr>
        <w:contextualSpacing/>
        <w:rPr>
          <w:lang w:eastAsia="zh-CN"/>
        </w:rPr>
      </w:pPr>
      <w:r>
        <w:rPr>
          <w:b/>
          <w:lang w:eastAsia="zh-CN"/>
        </w:rPr>
        <w:t>Тема 2.</w:t>
      </w:r>
      <w:r w:rsidR="00520E79">
        <w:rPr>
          <w:b/>
          <w:lang w:eastAsia="zh-CN"/>
        </w:rPr>
        <w:t>Япон</w:t>
      </w:r>
      <w:r w:rsidR="00AC1760" w:rsidRPr="00651DB5">
        <w:rPr>
          <w:b/>
          <w:lang w:eastAsia="zh-CN"/>
        </w:rPr>
        <w:t>ські стратегії освоєння поетики масової літератури.</w:t>
      </w:r>
      <w:r w:rsidR="00520E79">
        <w:rPr>
          <w:lang w:eastAsia="zh-CN"/>
        </w:rPr>
        <w:t xml:space="preserve">Легкий роман, фантастика, література для жінок. </w:t>
      </w:r>
    </w:p>
    <w:p w:rsidR="003C2BF7" w:rsidRDefault="003C2BF7" w:rsidP="002D4B88">
      <w:pPr>
        <w:widowControl w:val="0"/>
        <w:autoSpaceDE w:val="0"/>
        <w:autoSpaceDN w:val="0"/>
        <w:adjustRightInd w:val="0"/>
        <w:rPr>
          <w:lang w:eastAsia="zh-CN"/>
        </w:rPr>
      </w:pPr>
      <w:r w:rsidRPr="00723425">
        <w:rPr>
          <w:b/>
          <w:lang w:eastAsia="zh-CN"/>
        </w:rPr>
        <w:t xml:space="preserve">Змістовий модуль </w:t>
      </w:r>
      <w:r>
        <w:rPr>
          <w:b/>
          <w:lang w:eastAsia="zh-CN"/>
        </w:rPr>
        <w:t>4.</w:t>
      </w:r>
      <w:r w:rsidR="002D7CE5" w:rsidRPr="00651DB5">
        <w:rPr>
          <w:b/>
          <w:lang w:eastAsia="zh-CN"/>
        </w:rPr>
        <w:t xml:space="preserve">Література </w:t>
      </w:r>
      <w:r w:rsidR="00520E79">
        <w:rPr>
          <w:b/>
          <w:lang w:eastAsia="zh-CN"/>
        </w:rPr>
        <w:t>япон</w:t>
      </w:r>
      <w:r w:rsidR="002D7CE5" w:rsidRPr="00651DB5">
        <w:rPr>
          <w:b/>
          <w:lang w:eastAsia="zh-CN"/>
        </w:rPr>
        <w:t>ської транскультурації</w:t>
      </w:r>
      <w:r w:rsidR="00651DB5" w:rsidRPr="00651DB5">
        <w:rPr>
          <w:b/>
          <w:lang w:eastAsia="zh-CN"/>
        </w:rPr>
        <w:t>.</w:t>
      </w:r>
    </w:p>
    <w:p w:rsidR="003C2BF7" w:rsidRDefault="003C2BF7" w:rsidP="003C2BF7">
      <w:pPr>
        <w:contextualSpacing/>
        <w:rPr>
          <w:lang w:eastAsia="zh-CN"/>
        </w:rPr>
      </w:pPr>
      <w:r w:rsidRPr="00723425">
        <w:rPr>
          <w:b/>
          <w:lang w:eastAsia="zh-CN"/>
        </w:rPr>
        <w:t xml:space="preserve">Тема </w:t>
      </w:r>
      <w:r w:rsidR="00520E79">
        <w:rPr>
          <w:b/>
          <w:lang w:eastAsia="zh-CN"/>
        </w:rPr>
        <w:t>1</w:t>
      </w:r>
      <w:r w:rsidRPr="00723425">
        <w:rPr>
          <w:b/>
          <w:lang w:eastAsia="zh-CN"/>
        </w:rPr>
        <w:t>.</w:t>
      </w:r>
      <w:r w:rsidR="002D4B88" w:rsidRPr="00651DB5">
        <w:rPr>
          <w:b/>
          <w:lang w:eastAsia="zh-CN"/>
        </w:rPr>
        <w:t xml:space="preserve">Планетарна перспектива </w:t>
      </w:r>
      <w:r w:rsidR="004D1807">
        <w:rPr>
          <w:b/>
          <w:lang w:eastAsia="zh-CN"/>
        </w:rPr>
        <w:t>в</w:t>
      </w:r>
      <w:r w:rsidR="00520E79">
        <w:rPr>
          <w:b/>
          <w:lang w:eastAsia="zh-CN"/>
        </w:rPr>
        <w:t>япон</w:t>
      </w:r>
      <w:r w:rsidR="002D4B88" w:rsidRPr="00651DB5">
        <w:rPr>
          <w:b/>
          <w:lang w:eastAsia="zh-CN"/>
        </w:rPr>
        <w:t>ськомовному художньому дискурсі.</w:t>
      </w:r>
      <w:r w:rsidR="007E2510">
        <w:rPr>
          <w:lang w:eastAsia="zh-CN"/>
        </w:rPr>
        <w:t xml:space="preserve"> Творчість </w:t>
      </w:r>
      <w:r w:rsidR="00520E79">
        <w:rPr>
          <w:lang w:eastAsia="zh-CN"/>
        </w:rPr>
        <w:t xml:space="preserve"> Нацуме Сосекі, Кобо Абе, Харукі Муракамі</w:t>
      </w:r>
      <w:r w:rsidR="00940077">
        <w:rPr>
          <w:lang w:eastAsia="zh-CN"/>
        </w:rPr>
        <w:t xml:space="preserve">. </w:t>
      </w:r>
    </w:p>
    <w:p w:rsidR="002D4B88" w:rsidRPr="00E5221A" w:rsidRDefault="002D4B88" w:rsidP="003C2BF7">
      <w:pPr>
        <w:contextualSpacing/>
        <w:rPr>
          <w:b/>
          <w:bCs/>
          <w:szCs w:val="28"/>
          <w:lang w:eastAsia="zh-CN"/>
        </w:rPr>
      </w:pPr>
      <w:r w:rsidRPr="002D4B88">
        <w:rPr>
          <w:b/>
          <w:lang w:eastAsia="zh-CN"/>
        </w:rPr>
        <w:t xml:space="preserve">Тема </w:t>
      </w:r>
      <w:r w:rsidR="00520E79">
        <w:rPr>
          <w:b/>
          <w:lang w:eastAsia="zh-CN"/>
        </w:rPr>
        <w:t>2</w:t>
      </w:r>
      <w:r w:rsidRPr="002D4B88">
        <w:rPr>
          <w:b/>
          <w:lang w:eastAsia="zh-CN"/>
        </w:rPr>
        <w:t>.</w:t>
      </w:r>
      <w:r w:rsidRPr="00651DB5">
        <w:rPr>
          <w:b/>
          <w:lang w:eastAsia="zh-CN"/>
        </w:rPr>
        <w:t xml:space="preserve">Англомовна література </w:t>
      </w:r>
      <w:r w:rsidR="00520E79">
        <w:rPr>
          <w:b/>
          <w:lang w:eastAsia="zh-CN"/>
        </w:rPr>
        <w:t>япон</w:t>
      </w:r>
      <w:r w:rsidRPr="00651DB5">
        <w:rPr>
          <w:b/>
          <w:lang w:eastAsia="zh-CN"/>
        </w:rPr>
        <w:t>ської транскультурації</w:t>
      </w:r>
      <w:r>
        <w:rPr>
          <w:lang w:eastAsia="zh-CN"/>
        </w:rPr>
        <w:t xml:space="preserve">. Творчість </w:t>
      </w:r>
      <w:r w:rsidR="00520E79">
        <w:rPr>
          <w:lang w:eastAsia="zh-CN"/>
        </w:rPr>
        <w:t>Лосона Інади, Кацзуо Ісігуро</w:t>
      </w:r>
    </w:p>
    <w:p w:rsidR="005B0B7B" w:rsidRDefault="005B0B7B" w:rsidP="005B0B7B">
      <w:pPr>
        <w:ind w:firstLine="567"/>
        <w:jc w:val="both"/>
        <w:rPr>
          <w:lang w:eastAsia="zh-CN"/>
        </w:rPr>
      </w:pPr>
    </w:p>
    <w:p w:rsidR="00211823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496B8D" w:rsidRPr="00560763" w:rsidRDefault="00496B8D" w:rsidP="00496B8D">
      <w:pPr>
        <w:snapToGrid w:val="0"/>
        <w:ind w:left="720"/>
        <w:contextualSpacing/>
        <w:jc w:val="both"/>
        <w:rPr>
          <w:lang w:val="ru-RU"/>
        </w:rPr>
      </w:pP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Аністратенко Л.С., Бондаренко І.П. Словник японських літературознавчих термінів. – К.: Видавничий дім Дмитра Бураго, 2012.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Аністратенко Л.С., Бондаренко І.П. Японські поети: Біографічний словник. – К.: Видавничий дім Дмитра Бураго, 2011. 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Антологія японської поезії. Хайку. XVII–XX ст. (Переклад з яп., передмова та коментарі). — Київ: Дніпро. — 2002.- 365 с.</w:t>
      </w:r>
    </w:p>
    <w:p w:rsidR="00496B8D" w:rsidRDefault="00496B8D" w:rsidP="00496B8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uk-UA"/>
        </w:rPr>
      </w:pPr>
      <w:r w:rsidRPr="00E5221A">
        <w:rPr>
          <w:rFonts w:ascii="Times New Roman" w:hAnsi="Times New Roman"/>
          <w:bCs/>
        </w:rPr>
        <w:t xml:space="preserve">Бондаренко І.П., Осадча Ю.В. </w:t>
      </w:r>
      <w:r>
        <w:rPr>
          <w:rFonts w:ascii="Times New Roman" w:eastAsia="Times New Roman" w:hAnsi="Times New Roman"/>
        </w:rPr>
        <w:t xml:space="preserve">Японська література. Курс лекцій. Частина перша: давній і класичний періоди. — К.: Вид. дім Дм. Бураго, 2014.— 350 с. </w:t>
      </w:r>
    </w:p>
    <w:p w:rsidR="00496B8D" w:rsidRDefault="00496B8D" w:rsidP="00496B8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uk-UA"/>
        </w:rPr>
      </w:pPr>
      <w:r w:rsidRPr="00E5221A">
        <w:rPr>
          <w:rFonts w:ascii="Times New Roman" w:hAnsi="Times New Roman"/>
          <w:bCs/>
        </w:rPr>
        <w:t xml:space="preserve">Бондаренко І.П., Осадча Ю.В. </w:t>
      </w:r>
      <w:r>
        <w:rPr>
          <w:rFonts w:ascii="Times New Roman" w:eastAsia="Times New Roman" w:hAnsi="Times New Roman"/>
        </w:rPr>
        <w:t xml:space="preserve">Японська література. Курс лекцій. Частина друга: період шьоґунатів. — К.: Вид. дім Дм. Бураго, 2015.— 440 с. 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val="uk-UA"/>
        </w:rPr>
      </w:pPr>
      <w:r w:rsidRPr="00E5221A">
        <w:rPr>
          <w:rFonts w:ascii="Times New Roman" w:hAnsi="Times New Roman"/>
          <w:bCs/>
        </w:rPr>
        <w:t xml:space="preserve">Бондаренко І.П., Осадча Ю.В. </w:t>
      </w:r>
      <w:r>
        <w:rPr>
          <w:rFonts w:ascii="Times New Roman" w:eastAsia="Times New Roman" w:hAnsi="Times New Roman"/>
        </w:rPr>
        <w:t xml:space="preserve">Японська література. Курс лекцій. Частина третя: новітній період. — К.: Вид. дім Дм. Бураго, 2016.— 390 с. 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Збірка старих і нових японських пісень («Кокін-вака-сю») (Переклад з яп.,передмова та коментарі). — Київ: Факт. — 2006. — 1280 с. Антологія японської класичної поезії. Танка. Ренга. VIII–XVI ст. (Переклад з яп., передмова та коментарі). — Київ: Факт. — 2004. — 910 с.</w:t>
      </w:r>
    </w:p>
    <w:p w:rsidR="00496B8D" w:rsidRDefault="00496B8D" w:rsidP="00496B8D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Лукаш М. Від Бокаччо до Аполлінера. Переклади/М.Лукаш. ‒ К.: Дніпро, 1990. ‒ 512 с.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Сосекі  Нацуме Ваш покірний слуга кіт/ Нацуме Сосекі; пер. з яп.:І Дзюб.‒  Київ: Дніпро, 1973. 456 с.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lastRenderedPageBreak/>
        <w:t>Японська класична поезія / Передмова та переклад з яп. І.П. Бондаренка. — Харків: Фоліо, 2007 — 415 с.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Японська література в Україні: Минуле і сьогодення // Мовні і концептуальні картини світу. Випуск 27</w:t>
      </w:r>
    </w:p>
    <w:p w:rsidR="00496B8D" w:rsidRPr="00E5221A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lang w:val="uk-UA"/>
        </w:rPr>
        <w:t>Японська література. Хрестоматія. Т.І (VII-ХІІІ ст.)/</w:t>
      </w:r>
      <w:r w:rsidRPr="0082796D">
        <w:rPr>
          <w:rFonts w:ascii="Times New Roman" w:hAnsi="Times New Roman"/>
          <w:bCs/>
          <w:lang w:val="uk-UA"/>
        </w:rPr>
        <w:t>Упорядники: Бондаренко І.П., Осадча Ю.В. – Київ:Видавничий дім Дмитра Бураго, 2010. – 562 с.</w:t>
      </w:r>
    </w:p>
    <w:p w:rsidR="00496B8D" w:rsidRDefault="00496B8D" w:rsidP="00496B8D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Японська література: Хрестоматія. Том ІІ (ХІV-ХІХ ст.) / Упорядник: Бондаренко І.П. – К.: Видавничий дім Дмитра Бураго, 2011.</w:t>
      </w:r>
    </w:p>
    <w:p w:rsidR="00496B8D" w:rsidRPr="00496B8D" w:rsidRDefault="00496B8D" w:rsidP="00176656">
      <w:pPr>
        <w:pStyle w:val="ab"/>
        <w:numPr>
          <w:ilvl w:val="0"/>
          <w:numId w:val="22"/>
        </w:numPr>
        <w:autoSpaceDE w:val="0"/>
        <w:autoSpaceDN w:val="0"/>
        <w:adjustRightInd w:val="0"/>
        <w:snapToGrid w:val="0"/>
        <w:spacing w:after="0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Японська література: Хрестоматія. Том ІІІ (ХІХ-ХХ ст.) / Упорядники: Бондаренко І.П., Осадча Ю.В. – К.: Видавничий дім Дмитра Бураго, 2012.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GB"/>
        </w:rPr>
        <w:t>Ascari M. Literature of the Global Age: A Critical Study of Transcultural Narratives / Ascari Maurizio. − McFarland, 2011. –</w:t>
      </w:r>
      <w:r w:rsidRPr="00176656">
        <w:t>Р</w:t>
      </w:r>
      <w:r w:rsidRPr="00176656">
        <w:rPr>
          <w:lang w:val="en-GB"/>
        </w:rPr>
        <w:t>.</w:t>
      </w:r>
      <w:r w:rsidRPr="00176656">
        <w:rPr>
          <w:lang w:val="en-US"/>
        </w:rPr>
        <w:t xml:space="preserve"> 5 – 41.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GB"/>
        </w:rPr>
        <w:t>Beller M., Leerssen J. T. Imagology: The Cultural Construction and Literary Representation of National Characters: a Critical Survey / Manfred Beller, Joseph Theodoor Leerssen. – Rodopi, 2007. – P. 1 – 33.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US"/>
        </w:rPr>
        <w:t>Bernheimer C. Comparative literature in the age of multiculturalism/Charles Bernheimer. - Johns Hopkins University Press, 1995. – P. 47, 118 – 119.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rFonts w:eastAsia="TimesNewRoman"/>
        </w:rPr>
        <w:t>Cai, Rong. The Subject in Crisis in Contemporary Chinese Literature / Rong Cai. – SaintLouis, Missouri: Washington University, 1995. - Р. 17</w:t>
      </w:r>
      <w:r w:rsidRPr="00176656">
        <w:rPr>
          <w:rFonts w:eastAsia="TimesNewRoman"/>
          <w:lang w:val="en-GB"/>
        </w:rPr>
        <w:t>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>Culler J. Literary Theory: A Very Short Introduction / Jonathan Culler. - Oxford University Press, 2011</w:t>
      </w:r>
      <w:r w:rsidRPr="00176656">
        <w:t>. –Р</w:t>
      </w:r>
      <w:r w:rsidRPr="00176656">
        <w:rPr>
          <w:lang w:val="en-GB"/>
        </w:rPr>
        <w:t>. 1 – 16.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US"/>
        </w:rPr>
        <w:t>Davis G. V. Towards a Transcultural Future: Literature and Society in a 'post'-colonial World / Geoffrey V. Davis. –Rodopi, 2005. – 405 p.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US"/>
        </w:rPr>
        <w:t>Dirlik A. The Global in the Local / Arif Dirlik // Global/Local: Cultural Production and the Transnational Imaginary (Asia-Pacific: Culture, Politics, and Society)</w:t>
      </w:r>
      <w:r w:rsidRPr="00176656">
        <w:rPr>
          <w:lang w:val="en-GB"/>
        </w:rPr>
        <w:t>. –</w:t>
      </w:r>
      <w:r w:rsidRPr="00176656">
        <w:rPr>
          <w:lang w:val="en-US"/>
        </w:rPr>
        <w:t xml:space="preserve"> Durham and London, 1996. – P. 21 – 46.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uk-UA"/>
        </w:rPr>
      </w:pPr>
      <w:r w:rsidRPr="00176656">
        <w:rPr>
          <w:rFonts w:ascii="Times New Roman" w:eastAsia="TimesNewRoman" w:hAnsi="Times New Roman"/>
          <w:sz w:val="24"/>
          <w:szCs w:val="24"/>
          <w:lang w:val="uk-UA"/>
        </w:rPr>
        <w:t>Duke, Michael S. Blooming and Contending: Chinese Literature in the Post-Mao Era /Michael S. Duke. - Bloomington: Indiana University Press, 1985. - Р. 181</w:t>
      </w:r>
      <w:r w:rsidRPr="00176656">
        <w:rPr>
          <w:rFonts w:ascii="Times New Roman" w:eastAsia="TimesNewRoman" w:hAnsi="Times New Roman"/>
          <w:sz w:val="24"/>
          <w:szCs w:val="24"/>
          <w:lang w:val="en-GB"/>
        </w:rPr>
        <w:t>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>Epstein M. After the Future: The Paradoxes of Postmodernism and Contemporary Russian Culture / Mikhail N. Epspein. – University of Massachusetts Press, Amherst, 1995. – 394 p.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</w:pPr>
      <w:r w:rsidRPr="00176656">
        <w:rPr>
          <w:lang w:val="en-GB"/>
        </w:rPr>
        <w:t>Epstein</w:t>
      </w:r>
      <w:r w:rsidRPr="00176656">
        <w:t xml:space="preserve"> М</w:t>
      </w:r>
      <w:r w:rsidRPr="00176656">
        <w:rPr>
          <w:lang w:val="en-GB"/>
        </w:rPr>
        <w:t>. Transculture: a broad way between globalism and multiculturalism / Mikhail N. Epstein//</w:t>
      </w:r>
      <w:r w:rsidRPr="00176656">
        <w:t>The American Journal of Economics and Sociology</w:t>
      </w:r>
      <w:r w:rsidRPr="00176656">
        <w:rPr>
          <w:lang w:val="en-GB"/>
        </w:rPr>
        <w:t>. –</w:t>
      </w:r>
      <w:r w:rsidRPr="00176656">
        <w:t xml:space="preserve"> 2009</w:t>
      </w:r>
      <w:r w:rsidRPr="00176656">
        <w:rPr>
          <w:lang w:val="en-GB"/>
        </w:rPr>
        <w:t xml:space="preserve">. – </w:t>
      </w:r>
      <w:r w:rsidRPr="00176656">
        <w:t>Режимдоступа</w:t>
      </w:r>
      <w:r w:rsidRPr="00176656">
        <w:rPr>
          <w:lang w:val="en-GB"/>
        </w:rPr>
        <w:t xml:space="preserve">: </w:t>
      </w:r>
      <w:r w:rsidRPr="00176656">
        <w:t>http://findarticles.com/p/articles/mi_m0254/is_1_68/ai_n32148887/</w:t>
      </w:r>
      <w:r w:rsidRPr="00176656">
        <w:rPr>
          <w:lang w:val="en-GB"/>
        </w:rPr>
        <w:t xml:space="preserve"> (</w:t>
      </w:r>
      <w:r w:rsidRPr="00176656">
        <w:t>датаобращения</w:t>
      </w:r>
      <w:r w:rsidRPr="00176656">
        <w:rPr>
          <w:lang w:val="en-GB"/>
        </w:rPr>
        <w:t xml:space="preserve">: 19.01.2009). – </w:t>
      </w:r>
      <w:r w:rsidRPr="00176656">
        <w:t>Заглсэкр</w:t>
      </w:r>
      <w:r w:rsidRPr="00176656">
        <w:rPr>
          <w:lang w:val="en-GB"/>
        </w:rPr>
        <w:t>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 xml:space="preserve">Epstein </w:t>
      </w:r>
      <w:r w:rsidRPr="00176656">
        <w:t>М</w:t>
      </w:r>
      <w:r w:rsidRPr="00176656">
        <w:rPr>
          <w:lang w:val="en-GB"/>
        </w:rPr>
        <w:t>.</w:t>
      </w:r>
      <w:r w:rsidRPr="00176656">
        <w:t>,</w:t>
      </w:r>
      <w:r w:rsidRPr="00176656">
        <w:rPr>
          <w:lang w:val="en-GB"/>
        </w:rPr>
        <w:t xml:space="preserve"> Berry E. Transcultural Experiments: Russian and American Models of Creative Communication / Mikhail N. Epstein, Ellen H. Berry. – New York, 1999. – 352 p.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US"/>
        </w:rPr>
        <w:t xml:space="preserve">Evan-Zohar I. Polysystem Studies / Itamar Evan-Zohar // Poetics Today. – Durham: Duke University Press, 1990. – P. 287–310. 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GB"/>
        </w:rPr>
        <w:t xml:space="preserve">Genette, G. </w:t>
      </w:r>
      <w:r w:rsidRPr="00176656">
        <w:rPr>
          <w:lang w:val="en-US"/>
        </w:rPr>
        <w:t>Palimpsests: Literature in the Second Degree</w:t>
      </w:r>
      <w:r w:rsidRPr="00176656">
        <w:rPr>
          <w:lang w:val="en-GB"/>
        </w:rPr>
        <w:t xml:space="preserve"> / </w:t>
      </w:r>
      <w:r w:rsidRPr="00176656">
        <w:rPr>
          <w:lang w:val="en-US"/>
        </w:rPr>
        <w:t>Gerard Genette</w:t>
      </w:r>
      <w:r w:rsidRPr="00176656">
        <w:rPr>
          <w:lang w:val="en-GB"/>
        </w:rPr>
        <w:t xml:space="preserve">. – </w:t>
      </w:r>
      <w:r w:rsidRPr="00176656">
        <w:rPr>
          <w:lang w:val="en-US"/>
        </w:rPr>
        <w:t>U of Nebraska Press, 1997</w:t>
      </w:r>
      <w:r w:rsidRPr="00176656">
        <w:rPr>
          <w:lang w:val="en-GB"/>
        </w:rPr>
        <w:t xml:space="preserve">. – </w:t>
      </w:r>
      <w:r w:rsidRPr="00176656">
        <w:rPr>
          <w:lang w:val="en-US"/>
        </w:rPr>
        <w:t xml:space="preserve"> 491</w:t>
      </w:r>
      <w:r w:rsidRPr="00176656">
        <w:t>р</w:t>
      </w:r>
      <w:r w:rsidRPr="00176656">
        <w:rPr>
          <w:lang w:val="en-GB"/>
        </w:rPr>
        <w:t>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>Goldblatt H</w:t>
      </w:r>
      <w:r w:rsidRPr="00176656">
        <w:rPr>
          <w:rFonts w:ascii="Times New Roman" w:hAnsi="Times New Roman"/>
          <w:sz w:val="24"/>
          <w:szCs w:val="24"/>
          <w:lang w:val="uk-UA"/>
        </w:rPr>
        <w:t>.</w:t>
      </w:r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Chinese Literature for the Nineteen Eighties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The Fourth Congress of Writers and Artists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 xml:space="preserve">/ </w:t>
      </w:r>
      <w:r w:rsidRPr="00176656">
        <w:rPr>
          <w:rStyle w:val="10"/>
          <w:rFonts w:ascii="Times New Roman" w:hAnsi="Times New Roman"/>
          <w:sz w:val="24"/>
          <w:szCs w:val="24"/>
          <w:lang w:val="en-GB"/>
        </w:rPr>
        <w:t xml:space="preserve">Howard Goldblatt. – Sharpe Incorporated, M. E.: 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>1982. – 19</w:t>
      </w:r>
      <w:r w:rsidRPr="00176656">
        <w:rPr>
          <w:rStyle w:val="10"/>
          <w:rFonts w:ascii="Times New Roman" w:hAnsi="Times New Roman"/>
          <w:sz w:val="24"/>
          <w:szCs w:val="24"/>
          <w:lang w:val="en-GB"/>
        </w:rPr>
        <w:t>5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 xml:space="preserve"> р.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>Hassan</w:t>
      </w:r>
      <w:r w:rsidRPr="00176656">
        <w:t>,</w:t>
      </w:r>
      <w:r w:rsidRPr="00176656">
        <w:rPr>
          <w:lang w:val="en-GB"/>
        </w:rPr>
        <w:t xml:space="preserve"> I. </w:t>
      </w:r>
      <w:r w:rsidRPr="00176656">
        <w:rPr>
          <w:lang w:val="en-US"/>
        </w:rPr>
        <w:t>Beyond Postmodernism:</w:t>
      </w:r>
      <w:r w:rsidRPr="00176656">
        <w:rPr>
          <w:lang w:val="en-GB"/>
        </w:rPr>
        <w:t xml:space="preserve"> toward an aesthetic of trust / Ihab Hassan // Beyond Postmodernism: Reassessments in Literature, Theory, and Culture. – Walter de Gruyter, 2003. – P. 199 – 212.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76656">
        <w:rPr>
          <w:rFonts w:ascii="Times New Roman" w:eastAsia="Times New Roman" w:hAnsi="Times New Roman"/>
          <w:sz w:val="24"/>
          <w:szCs w:val="24"/>
          <w:lang w:val="en-US"/>
        </w:rPr>
        <w:t>Helmut M., Kinkley J. C., Ba Jin</w:t>
      </w:r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Modern Chinese Writers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Self-portrayals</w:t>
      </w:r>
      <w:r w:rsidRPr="00176656">
        <w:rPr>
          <w:rFonts w:ascii="Times New Roman" w:eastAsia="Times New Roman" w:hAnsi="Times New Roman"/>
          <w:sz w:val="24"/>
          <w:szCs w:val="24"/>
          <w:lang w:val="en-US"/>
        </w:rPr>
        <w:t xml:space="preserve"> Martin Helmut, Jeffrey C. Kinkley, Ba Jin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. –</w:t>
      </w:r>
      <w:r w:rsidRPr="00176656">
        <w:rPr>
          <w:rFonts w:ascii="Times New Roman" w:hAnsi="Times New Roman"/>
          <w:sz w:val="24"/>
          <w:szCs w:val="24"/>
          <w:lang w:val="en-US"/>
        </w:rPr>
        <w:t>M.E. Sharpe, 1992. –380 p.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 xml:space="preserve">Kinkley Jeffrey C. </w:t>
      </w:r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After Mao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Chinese Literature and Society, 1978-1981/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 Jeffrey C. Kinkley. – Harvard University, 1985. – 345 p.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 xml:space="preserve">Kinkley </w:t>
      </w:r>
      <w:hyperlink r:id="rId7" w:history="1">
        <w:r w:rsidRPr="0017665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Jeffrey C. </w:t>
        </w:r>
      </w:hyperlink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Chinese Justice, the Fiction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Law and Literature in Modern China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>/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 Jeffrey C.Kinkley</w:t>
      </w:r>
      <w:r w:rsidRPr="00176656">
        <w:rPr>
          <w:rFonts w:ascii="Times New Roman" w:hAnsi="Times New Roman"/>
          <w:sz w:val="24"/>
          <w:szCs w:val="24"/>
          <w:lang w:val="uk-UA"/>
        </w:rPr>
        <w:t>.–</w:t>
      </w:r>
      <w:r w:rsidRPr="00176656">
        <w:rPr>
          <w:rFonts w:ascii="Times New Roman" w:hAnsi="Times New Roman"/>
          <w:sz w:val="24"/>
          <w:szCs w:val="24"/>
          <w:lang w:val="en-US"/>
        </w:rPr>
        <w:t>Stanford University Press, 2000</w:t>
      </w:r>
      <w:r w:rsidRPr="00176656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176656">
        <w:rPr>
          <w:rFonts w:ascii="Times New Roman" w:hAnsi="Times New Roman"/>
          <w:sz w:val="24"/>
          <w:szCs w:val="24"/>
          <w:lang w:val="en-US"/>
        </w:rPr>
        <w:t>497 p.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 xml:space="preserve">Kinkley </w:t>
      </w:r>
      <w:hyperlink r:id="rId8" w:history="1">
        <w:r w:rsidRPr="0017665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Jeffrey C. </w:t>
        </w:r>
      </w:hyperlink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Corruption And Realism in Late Socialist China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The Return of the Political Novel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 xml:space="preserve">/ Jeffrey C. </w:t>
      </w:r>
      <w:r w:rsidRPr="00176656">
        <w:rPr>
          <w:rFonts w:ascii="Times New Roman" w:hAnsi="Times New Roman"/>
          <w:sz w:val="24"/>
          <w:szCs w:val="24"/>
          <w:lang w:val="en-US"/>
        </w:rPr>
        <w:t>Kinkley</w:t>
      </w:r>
      <w:hyperlink r:id="rId9" w:history="1">
        <w:r w:rsidRPr="00176656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. </w:t>
        </w:r>
      </w:hyperlink>
      <w:r w:rsidRPr="00176656">
        <w:rPr>
          <w:rFonts w:ascii="Times New Roman" w:hAnsi="Times New Roman"/>
          <w:sz w:val="24"/>
          <w:szCs w:val="24"/>
          <w:lang w:val="uk-UA"/>
        </w:rPr>
        <w:t>–</w:t>
      </w:r>
      <w:r w:rsidRPr="00176656">
        <w:rPr>
          <w:rFonts w:ascii="Times New Roman" w:hAnsi="Times New Roman"/>
          <w:sz w:val="24"/>
          <w:szCs w:val="24"/>
          <w:lang w:val="en-US"/>
        </w:rPr>
        <w:t>Stanford University Press, 2006</w:t>
      </w:r>
      <w:r w:rsidRPr="00176656">
        <w:rPr>
          <w:rFonts w:ascii="Times New Roman" w:hAnsi="Times New Roman"/>
          <w:sz w:val="24"/>
          <w:szCs w:val="24"/>
          <w:lang w:val="uk-UA"/>
        </w:rPr>
        <w:t>. – 250 р.</w:t>
      </w:r>
    </w:p>
    <w:p w:rsidR="00176656" w:rsidRPr="00176656" w:rsidRDefault="00176656" w:rsidP="00176656">
      <w:pPr>
        <w:numPr>
          <w:ilvl w:val="0"/>
          <w:numId w:val="22"/>
        </w:numPr>
        <w:contextualSpacing/>
        <w:jc w:val="both"/>
        <w:rPr>
          <w:lang w:eastAsia="zh-CN"/>
        </w:rPr>
      </w:pPr>
      <w:r w:rsidRPr="00176656">
        <w:rPr>
          <w:rFonts w:ascii="SimSun" w:hAnsi="SimSun" w:cs="SimSun" w:hint="eastAsia"/>
          <w:lang w:eastAsia="zh-CN"/>
        </w:rPr>
        <w:t>史承钧。老舍与西方现打派文学。</w:t>
      </w:r>
      <w:r w:rsidRPr="00176656">
        <w:rPr>
          <w:lang w:eastAsia="zh-CN"/>
        </w:rPr>
        <w:t xml:space="preserve">[J] </w:t>
      </w:r>
      <w:r w:rsidRPr="00176656">
        <w:rPr>
          <w:rFonts w:ascii="SimSun" w:hAnsi="SimSun" w:cs="SimSun" w:hint="eastAsia"/>
          <w:lang w:eastAsia="zh-CN"/>
        </w:rPr>
        <w:t>上海师范大学学报。–</w:t>
      </w:r>
      <w:r w:rsidRPr="00176656">
        <w:rPr>
          <w:lang w:eastAsia="zh-CN"/>
        </w:rPr>
        <w:t xml:space="preserve"> 1994 </w:t>
      </w:r>
      <w:r w:rsidRPr="00176656">
        <w:rPr>
          <w:rFonts w:ascii="SimSun" w:hAnsi="SimSun" w:cs="SimSun" w:hint="eastAsia"/>
          <w:lang w:eastAsia="zh-CN"/>
        </w:rPr>
        <w:t>年</w:t>
      </w:r>
      <w:r w:rsidRPr="00176656">
        <w:rPr>
          <w:lang w:eastAsia="zh-CN"/>
        </w:rPr>
        <w:t xml:space="preserve"> 4 </w:t>
      </w:r>
      <w:r w:rsidRPr="00176656">
        <w:rPr>
          <w:rFonts w:ascii="SimSun" w:hAnsi="SimSun" w:cs="SimSun" w:hint="eastAsia"/>
          <w:lang w:eastAsia="zh-CN"/>
        </w:rPr>
        <w:t>期。–</w:t>
      </w:r>
      <w:r w:rsidRPr="00176656">
        <w:rPr>
          <w:lang w:eastAsia="zh-CN"/>
        </w:rPr>
        <w:t xml:space="preserve"> 78- 86 </w:t>
      </w:r>
      <w:r w:rsidRPr="00176656">
        <w:rPr>
          <w:rFonts w:ascii="SimSun" w:hAnsi="SimSun" w:cs="SimSun" w:hint="eastAsia"/>
          <w:lang w:eastAsia="zh-CN"/>
        </w:rPr>
        <w:t>页。季进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作家们的作家——博尔赫斯及其在中国的影响</w:t>
      </w:r>
      <w:r w:rsidRPr="00176656">
        <w:rPr>
          <w:lang w:eastAsia="zh-CN"/>
        </w:rPr>
        <w:t xml:space="preserve"> / </w:t>
      </w:r>
      <w:r w:rsidRPr="00176656">
        <w:rPr>
          <w:rFonts w:ascii="SimSun" w:hAnsi="SimSun" w:cs="SimSun" w:hint="eastAsia"/>
          <w:lang w:eastAsia="zh-CN"/>
        </w:rPr>
        <w:t>季进</w:t>
      </w:r>
      <w:r w:rsidRPr="00176656">
        <w:rPr>
          <w:lang w:eastAsia="zh-CN"/>
        </w:rPr>
        <w:t xml:space="preserve">. // </w:t>
      </w:r>
      <w:r w:rsidRPr="00176656">
        <w:rPr>
          <w:rFonts w:ascii="SimSun" w:hAnsi="SimSun" w:cs="SimSun" w:hint="eastAsia"/>
          <w:lang w:eastAsia="zh-CN"/>
        </w:rPr>
        <w:t>当代作家评论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–</w:t>
      </w:r>
      <w:r w:rsidRPr="00176656">
        <w:rPr>
          <w:lang w:eastAsia="zh-CN"/>
        </w:rPr>
        <w:t xml:space="preserve"> 2001. </w:t>
      </w:r>
      <w:r w:rsidRPr="00176656">
        <w:rPr>
          <w:rFonts w:ascii="SimSun" w:hAnsi="SimSun" w:cs="SimSun" w:hint="eastAsia"/>
          <w:lang w:eastAsia="zh-CN"/>
        </w:rPr>
        <w:t>–</w:t>
      </w:r>
      <w:r w:rsidRPr="00176656">
        <w:rPr>
          <w:rFonts w:ascii="SimSun" w:hAnsi="SimSun" w:hint="eastAsia"/>
          <w:lang w:eastAsia="zh-CN"/>
        </w:rPr>
        <w:t>№</w:t>
      </w:r>
      <w:r w:rsidRPr="00176656">
        <w:rPr>
          <w:lang w:eastAsia="zh-CN"/>
        </w:rPr>
        <w:t xml:space="preserve"> 3.</w:t>
      </w:r>
    </w:p>
    <w:p w:rsidR="00176656" w:rsidRPr="00176656" w:rsidRDefault="00176656" w:rsidP="00176656">
      <w:pPr>
        <w:numPr>
          <w:ilvl w:val="0"/>
          <w:numId w:val="22"/>
        </w:numPr>
        <w:contextualSpacing/>
        <w:jc w:val="both"/>
        <w:rPr>
          <w:lang w:eastAsia="zh-CN"/>
        </w:rPr>
      </w:pPr>
      <w:r w:rsidRPr="00176656">
        <w:rPr>
          <w:rFonts w:ascii="SimSun" w:hAnsi="SimSun" w:cs="SimSun" w:hint="eastAsia"/>
          <w:lang w:eastAsia="zh-CN"/>
        </w:rPr>
        <w:lastRenderedPageBreak/>
        <w:t>李玲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中国现代文学的性别意识</w:t>
      </w:r>
      <w:r w:rsidRPr="00176656">
        <w:rPr>
          <w:lang w:eastAsia="zh-CN"/>
        </w:rPr>
        <w:t xml:space="preserve"> / </w:t>
      </w:r>
      <w:r w:rsidRPr="00176656">
        <w:rPr>
          <w:rFonts w:ascii="SimSun" w:hAnsi="SimSun" w:cs="SimSun" w:hint="eastAsia"/>
          <w:lang w:eastAsia="zh-CN"/>
        </w:rPr>
        <w:t>李玲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–北京</w:t>
      </w:r>
      <w:r w:rsidRPr="00176656">
        <w:rPr>
          <w:lang w:eastAsia="zh-CN"/>
        </w:rPr>
        <w:t xml:space="preserve">: </w:t>
      </w:r>
      <w:r w:rsidRPr="00176656">
        <w:rPr>
          <w:rFonts w:ascii="SimSun" w:hAnsi="SimSun" w:cs="SimSun" w:hint="eastAsia"/>
          <w:lang w:eastAsia="zh-CN"/>
        </w:rPr>
        <w:t>人民文学出版社</w:t>
      </w:r>
      <w:r w:rsidRPr="00176656">
        <w:rPr>
          <w:lang w:eastAsia="zh-CN"/>
        </w:rPr>
        <w:t xml:space="preserve">, 2002. </w:t>
      </w:r>
      <w:r w:rsidRPr="00176656">
        <w:rPr>
          <w:rFonts w:ascii="SimSun" w:hAnsi="SimSun" w:cs="SimSun" w:hint="eastAsia"/>
          <w:lang w:eastAsia="zh-CN"/>
        </w:rPr>
        <w:t>–</w:t>
      </w:r>
      <w:r w:rsidRPr="00176656">
        <w:rPr>
          <w:lang w:eastAsia="zh-CN"/>
        </w:rPr>
        <w:t xml:space="preserve"> 258 с.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56">
        <w:rPr>
          <w:rFonts w:ascii="SimSun" w:hAnsi="SimSun" w:cs="SimSun" w:hint="eastAsia"/>
          <w:sz w:val="24"/>
          <w:szCs w:val="24"/>
        </w:rPr>
        <w:t>李晓峰</w:t>
      </w:r>
      <w:r w:rsidRPr="00176656">
        <w:rPr>
          <w:rFonts w:ascii="Times New Roman" w:hAnsi="Times New Roman"/>
          <w:sz w:val="24"/>
          <w:szCs w:val="24"/>
        </w:rPr>
        <w:t xml:space="preserve">. </w:t>
      </w:r>
      <w:r w:rsidRPr="00176656">
        <w:rPr>
          <w:rFonts w:ascii="SimSun" w:hAnsi="SimSun" w:cs="SimSun" w:hint="eastAsia"/>
          <w:sz w:val="24"/>
          <w:szCs w:val="24"/>
        </w:rPr>
        <w:t>小说</w:t>
      </w:r>
      <w:r w:rsidRPr="00176656">
        <w:rPr>
          <w:rFonts w:ascii="Times New Roman" w:hAnsi="Times New Roman"/>
          <w:sz w:val="24"/>
          <w:szCs w:val="24"/>
        </w:rPr>
        <w:t xml:space="preserve">: </w:t>
      </w:r>
      <w:r w:rsidRPr="00176656">
        <w:rPr>
          <w:rFonts w:ascii="SimSun" w:hAnsi="SimSun" w:cs="SimSun" w:hint="eastAsia"/>
          <w:sz w:val="24"/>
          <w:szCs w:val="24"/>
        </w:rPr>
        <w:t>黑暗灵魂的舞蹈——论残雪的文学观</w:t>
      </w:r>
      <w:r w:rsidRPr="00176656">
        <w:rPr>
          <w:rFonts w:ascii="Times New Roman" w:hAnsi="Times New Roman"/>
          <w:sz w:val="24"/>
          <w:szCs w:val="24"/>
        </w:rPr>
        <w:t>/</w:t>
      </w:r>
      <w:r w:rsidRPr="00176656">
        <w:rPr>
          <w:rFonts w:ascii="SimSun" w:hAnsi="SimSun" w:cs="SimSun" w:hint="eastAsia"/>
          <w:sz w:val="24"/>
          <w:szCs w:val="24"/>
        </w:rPr>
        <w:t>李晓峰</w:t>
      </w:r>
      <w:r w:rsidRPr="00176656">
        <w:rPr>
          <w:rFonts w:ascii="Times New Roman" w:hAnsi="Times New Roman"/>
          <w:sz w:val="24"/>
          <w:szCs w:val="24"/>
        </w:rPr>
        <w:t xml:space="preserve"> / </w:t>
      </w:r>
      <w:r w:rsidRPr="00176656">
        <w:rPr>
          <w:rFonts w:ascii="SimSun" w:hAnsi="SimSun" w:cs="SimSun" w:hint="eastAsia"/>
          <w:sz w:val="24"/>
          <w:szCs w:val="24"/>
        </w:rPr>
        <w:t>李晓峰</w:t>
      </w:r>
      <w:r w:rsidRPr="00176656">
        <w:rPr>
          <w:rFonts w:ascii="Times New Roman" w:hAnsi="Times New Roman"/>
          <w:sz w:val="24"/>
          <w:szCs w:val="24"/>
        </w:rPr>
        <w:t>. //</w:t>
      </w:r>
      <w:r w:rsidRPr="00176656">
        <w:rPr>
          <w:rFonts w:ascii="SimSun" w:hAnsi="SimSun" w:cs="SimSun" w:hint="eastAsia"/>
          <w:sz w:val="24"/>
          <w:szCs w:val="24"/>
        </w:rPr>
        <w:t>《当代文坛》</w:t>
      </w:r>
      <w:r w:rsidRPr="00176656">
        <w:rPr>
          <w:rFonts w:ascii="Times New Roman" w:hAnsi="Times New Roman"/>
          <w:sz w:val="24"/>
          <w:szCs w:val="24"/>
        </w:rPr>
        <w:t xml:space="preserve">. </w:t>
      </w:r>
      <w:r w:rsidRPr="00176656">
        <w:rPr>
          <w:rFonts w:ascii="SimSun" w:hAnsi="SimSun" w:cs="SimSun" w:hint="eastAsia"/>
          <w:sz w:val="24"/>
          <w:szCs w:val="24"/>
        </w:rPr>
        <w:t>–</w:t>
      </w:r>
      <w:r w:rsidRPr="00176656">
        <w:rPr>
          <w:rFonts w:ascii="Times New Roman" w:hAnsi="Times New Roman"/>
          <w:sz w:val="24"/>
          <w:szCs w:val="24"/>
        </w:rPr>
        <w:t xml:space="preserve"> 2006. </w:t>
      </w:r>
      <w:r w:rsidRPr="00176656">
        <w:rPr>
          <w:rFonts w:ascii="SimSun" w:hAnsi="SimSun" w:cs="SimSun" w:hint="eastAsia"/>
          <w:sz w:val="24"/>
          <w:szCs w:val="24"/>
        </w:rPr>
        <w:t>–</w:t>
      </w:r>
      <w:r w:rsidRPr="00176656">
        <w:rPr>
          <w:rFonts w:ascii="SimSun" w:hAnsi="SimSun" w:hint="eastAsia"/>
          <w:sz w:val="24"/>
          <w:szCs w:val="24"/>
        </w:rPr>
        <w:t>№</w:t>
      </w:r>
      <w:r w:rsidRPr="00176656">
        <w:rPr>
          <w:rFonts w:ascii="Times New Roman" w:hAnsi="Times New Roman"/>
          <w:sz w:val="24"/>
          <w:szCs w:val="24"/>
        </w:rPr>
        <w:t xml:space="preserve"> 2.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孟繁</w:t>
      </w:r>
      <w:r w:rsidRPr="00176656">
        <w:rPr>
          <w:rFonts w:ascii="Times New Roman" w:hAnsi="SimSun" w:hint="eastAsia"/>
          <w:sz w:val="24"/>
          <w:szCs w:val="24"/>
          <w:lang w:val="uk-UA"/>
        </w:rPr>
        <w:t>华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中国当代文学</w:t>
      </w:r>
      <w:r w:rsidRPr="00176656">
        <w:rPr>
          <w:rFonts w:ascii="Times New Roman" w:hAnsi="SimSun" w:hint="eastAsia"/>
          <w:sz w:val="24"/>
          <w:szCs w:val="24"/>
          <w:lang w:val="uk-UA"/>
        </w:rPr>
        <w:t>发</w:t>
      </w:r>
      <w:r w:rsidRPr="00176656">
        <w:rPr>
          <w:rFonts w:ascii="Times New Roman" w:eastAsia="MS Mincho" w:hAnsi="MS Mincho" w:hint="eastAsia"/>
          <w:sz w:val="24"/>
          <w:szCs w:val="24"/>
          <w:lang w:val="uk-UA"/>
        </w:rPr>
        <w:t>展史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/ 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孟繁</w:t>
      </w:r>
      <w:r w:rsidRPr="00176656">
        <w:rPr>
          <w:rFonts w:ascii="Times New Roman" w:hAnsi="SimSun" w:hint="eastAsia"/>
          <w:sz w:val="24"/>
          <w:szCs w:val="24"/>
          <w:lang w:val="uk-UA"/>
        </w:rPr>
        <w:t>华。</w:t>
      </w:r>
      <w:r w:rsidRPr="00176656">
        <w:rPr>
          <w:rFonts w:ascii="Times New Roman" w:hAnsi="Times New Roman"/>
          <w:sz w:val="24"/>
          <w:szCs w:val="24"/>
          <w:lang w:val="uk-UA"/>
        </w:rPr>
        <w:t>–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人民文学出版社，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2004</w:t>
      </w:r>
      <w:r w:rsidRPr="00176656">
        <w:rPr>
          <w:rFonts w:ascii="Times New Roman" w:hAnsi="Times New Roman"/>
          <w:sz w:val="24"/>
          <w:szCs w:val="24"/>
          <w:lang w:val="uk-UA"/>
        </w:rPr>
        <w:t>年</w:t>
      </w:r>
      <w:r w:rsidRPr="00176656">
        <w:rPr>
          <w:rFonts w:ascii="Times New Roman" w:hAnsi="Times New Roman" w:hint="eastAsia"/>
          <w:sz w:val="24"/>
          <w:szCs w:val="24"/>
          <w:lang w:val="en-US"/>
        </w:rPr>
        <w:t>。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–</w:t>
      </w:r>
      <w:r w:rsidRPr="00176656">
        <w:rPr>
          <w:rFonts w:ascii="Times New Roman" w:hAnsi="Times New Roman"/>
          <w:sz w:val="24"/>
          <w:szCs w:val="24"/>
          <w:lang w:val="uk-UA"/>
        </w:rPr>
        <w:t>页数：</w:t>
      </w:r>
      <w:r w:rsidRPr="00176656">
        <w:rPr>
          <w:rFonts w:ascii="Times New Roman" w:hAnsi="Times New Roman"/>
          <w:sz w:val="24"/>
          <w:szCs w:val="24"/>
          <w:lang w:val="uk-UA"/>
        </w:rPr>
        <w:t>275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.</w:t>
      </w:r>
    </w:p>
    <w:p w:rsidR="00176656" w:rsidRPr="00176656" w:rsidRDefault="00104E89" w:rsidP="00176656">
      <w:pPr>
        <w:pStyle w:val="ab"/>
        <w:numPr>
          <w:ilvl w:val="0"/>
          <w:numId w:val="2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tgtFrame="_blank" w:history="1">
        <w:r w:rsidR="00176656" w:rsidRPr="0017665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曹文轩</w:t>
        </w:r>
      </w:hyperlink>
      <w:r w:rsidR="00176656" w:rsidRPr="00176656">
        <w:rPr>
          <w:rFonts w:ascii="Times New Roman" w:hAnsi="Times New Roman"/>
          <w:sz w:val="24"/>
          <w:szCs w:val="24"/>
        </w:rPr>
        <w:t>中国八十年代文学现象研</w:t>
      </w:r>
      <w:r w:rsidR="00176656" w:rsidRPr="00176656">
        <w:rPr>
          <w:rFonts w:ascii="Times New Roman" w:hAnsi="Times New Roman" w:hint="eastAsia"/>
          <w:sz w:val="24"/>
          <w:szCs w:val="24"/>
        </w:rPr>
        <w:t>究</w:t>
      </w:r>
      <w:r w:rsidR="00176656" w:rsidRPr="00176656">
        <w:rPr>
          <w:rFonts w:ascii="Times New Roman" w:hAnsi="Times New Roman"/>
          <w:sz w:val="24"/>
          <w:szCs w:val="24"/>
          <w:lang w:val="uk-UA"/>
        </w:rPr>
        <w:t xml:space="preserve"> / </w:t>
      </w:r>
      <w:hyperlink r:id="rId11" w:tgtFrame="_blank" w:history="1">
        <w:r w:rsidR="00176656" w:rsidRPr="00176656">
          <w:rPr>
            <w:rStyle w:val="ac"/>
            <w:rFonts w:ascii="Times New Roman" w:hAnsi="Times New Roman" w:hint="eastAsia"/>
            <w:color w:val="auto"/>
            <w:sz w:val="24"/>
            <w:szCs w:val="24"/>
            <w:u w:val="none"/>
          </w:rPr>
          <w:t>曹文轩</w:t>
        </w:r>
      </w:hyperlink>
      <w:r w:rsidR="00176656" w:rsidRPr="00176656">
        <w:rPr>
          <w:rFonts w:ascii="Times New Roman" w:hAnsi="Times New Roman"/>
          <w:sz w:val="24"/>
          <w:szCs w:val="24"/>
        </w:rPr>
        <w:t>。</w:t>
      </w:r>
      <w:r w:rsidR="00176656" w:rsidRPr="00176656">
        <w:rPr>
          <w:rFonts w:ascii="Times New Roman" w:hAnsi="Times New Roman"/>
          <w:sz w:val="24"/>
          <w:szCs w:val="24"/>
        </w:rPr>
        <w:t>–</w:t>
      </w:r>
      <w:hyperlink r:id="rId12" w:tgtFrame="_blank" w:history="1">
        <w:r w:rsidR="00176656" w:rsidRPr="0017665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人民文学出版社</w:t>
        </w:r>
      </w:hyperlink>
      <w:r w:rsidR="00176656" w:rsidRPr="00176656">
        <w:rPr>
          <w:rFonts w:ascii="Times New Roman" w:hAnsi="Times New Roman"/>
          <w:sz w:val="24"/>
          <w:szCs w:val="24"/>
        </w:rPr>
        <w:t>，</w:t>
      </w:r>
      <w:r w:rsidR="00176656" w:rsidRPr="00176656">
        <w:rPr>
          <w:rFonts w:ascii="Times New Roman" w:eastAsia="Times New Roman" w:hAnsi="Times New Roman"/>
          <w:sz w:val="24"/>
          <w:szCs w:val="24"/>
        </w:rPr>
        <w:t>2010</w:t>
      </w:r>
      <w:r w:rsidR="00176656" w:rsidRPr="00176656">
        <w:rPr>
          <w:rFonts w:ascii="Times New Roman" w:hAnsi="Times New Roman"/>
          <w:sz w:val="24"/>
          <w:szCs w:val="24"/>
          <w:lang w:val="en-US"/>
        </w:rPr>
        <w:t>年。</w:t>
      </w:r>
      <w:r w:rsidR="00176656" w:rsidRPr="00176656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176656" w:rsidRPr="00176656">
        <w:rPr>
          <w:rFonts w:ascii="Times New Roman" w:hAnsi="Times New Roman"/>
          <w:sz w:val="24"/>
          <w:szCs w:val="24"/>
        </w:rPr>
        <w:t>页数：</w:t>
      </w:r>
      <w:r w:rsidR="00176656" w:rsidRPr="00176656">
        <w:rPr>
          <w:rFonts w:ascii="Times New Roman" w:hAnsi="Times New Roman"/>
          <w:sz w:val="24"/>
          <w:szCs w:val="24"/>
        </w:rPr>
        <w:t>187</w:t>
      </w:r>
      <w:r w:rsidR="00176656" w:rsidRPr="00176656">
        <w:rPr>
          <w:rFonts w:ascii="Times New Roman" w:hAnsi="Times New Roman" w:hint="eastAsia"/>
          <w:sz w:val="24"/>
          <w:szCs w:val="24"/>
        </w:rPr>
        <w:t>页。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 w:hint="eastAsia"/>
          <w:sz w:val="24"/>
          <w:szCs w:val="24"/>
          <w:lang w:val="uk-UA"/>
        </w:rPr>
        <w:t>谭</w:t>
      </w:r>
      <w:r w:rsidRPr="00176656">
        <w:rPr>
          <w:rFonts w:ascii="Times New Roman" w:eastAsia="MS Mincho" w:hAnsi="Times New Roman" w:hint="eastAsia"/>
          <w:sz w:val="24"/>
          <w:szCs w:val="24"/>
          <w:lang w:val="uk-UA"/>
        </w:rPr>
        <w:t>楚良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中国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现</w:t>
      </w:r>
      <w:r w:rsidRPr="00176656">
        <w:rPr>
          <w:rFonts w:ascii="Times New Roman" w:eastAsia="MS Mincho" w:hAnsi="Times New Roman" w:hint="eastAsia"/>
          <w:sz w:val="24"/>
          <w:szCs w:val="24"/>
          <w:lang w:val="uk-UA"/>
        </w:rPr>
        <w:t>代派文学史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论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  /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谭</w:t>
      </w:r>
      <w:r w:rsidRPr="00176656">
        <w:rPr>
          <w:rFonts w:ascii="Times New Roman" w:eastAsia="MS Mincho" w:hAnsi="Times New Roman" w:hint="eastAsia"/>
          <w:sz w:val="24"/>
          <w:szCs w:val="24"/>
          <w:lang w:val="uk-UA"/>
        </w:rPr>
        <w:t>楚良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. – </w:t>
      </w:r>
      <w:r w:rsidRPr="00176656">
        <w:rPr>
          <w:rFonts w:ascii="Times New Roman" w:hAnsi="Times New Roman"/>
          <w:sz w:val="24"/>
          <w:szCs w:val="24"/>
          <w:lang w:val="uk-UA"/>
        </w:rPr>
        <w:t>上海，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学林出版社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1997. </w:t>
      </w:r>
      <w:r w:rsidRPr="00176656">
        <w:rPr>
          <w:rFonts w:ascii="Times New Roman" w:eastAsia="TimesNewRoman" w:hAnsi="Times New Roman"/>
          <w:sz w:val="24"/>
          <w:szCs w:val="24"/>
          <w:lang w:val="en-US"/>
        </w:rPr>
        <w:t> 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– </w:t>
      </w:r>
      <w:r w:rsidRPr="00176656">
        <w:rPr>
          <w:rFonts w:ascii="Times New Roman" w:hAnsi="Times New Roman"/>
          <w:sz w:val="24"/>
          <w:szCs w:val="24"/>
          <w:lang w:val="uk-UA"/>
        </w:rPr>
        <w:t>第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363-399</w:t>
      </w:r>
      <w:r w:rsidRPr="00176656">
        <w:rPr>
          <w:rFonts w:ascii="Times New Roman" w:hAnsi="Times New Roman"/>
          <w:sz w:val="24"/>
          <w:szCs w:val="24"/>
          <w:lang w:val="uk-UA"/>
        </w:rPr>
        <w:t>页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.</w:t>
      </w:r>
    </w:p>
    <w:p w:rsidR="00176656" w:rsidRPr="00176656" w:rsidRDefault="00176656" w:rsidP="00176656">
      <w:pPr>
        <w:pStyle w:val="ab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刘再</w:t>
      </w:r>
      <w:r w:rsidRPr="00176656">
        <w:rPr>
          <w:rFonts w:ascii="Times New Roman" w:hAnsi="SimSun" w:hint="eastAsia"/>
          <w:sz w:val="24"/>
          <w:szCs w:val="24"/>
          <w:lang w:val="uk-UA"/>
        </w:rPr>
        <w:t>复论文学的主体性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76656">
        <w:rPr>
          <w:rFonts w:ascii="Times New Roman" w:hAnsi="SimSun" w:hint="eastAsia"/>
          <w:sz w:val="24"/>
          <w:szCs w:val="24"/>
          <w:lang w:val="en-US"/>
        </w:rPr>
        <w:t>下</w:t>
      </w:r>
      <w:r w:rsidRPr="00176656">
        <w:rPr>
          <w:rFonts w:ascii="Times New Roman" w:hAnsi="Times New Roman"/>
          <w:sz w:val="24"/>
          <w:szCs w:val="24"/>
          <w:lang w:val="en-US"/>
        </w:rPr>
        <w:t>)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/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刘再</w:t>
      </w:r>
      <w:r w:rsidRPr="00176656">
        <w:rPr>
          <w:rFonts w:ascii="Times New Roman" w:hAnsi="SimSun" w:hint="eastAsia"/>
          <w:sz w:val="24"/>
          <w:szCs w:val="24"/>
          <w:lang w:val="uk-UA"/>
        </w:rPr>
        <w:t>复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// </w:t>
      </w:r>
      <w:r w:rsidRPr="00176656">
        <w:rPr>
          <w:rFonts w:ascii="Times New Roman" w:hAnsi="Times New Roman"/>
          <w:sz w:val="24"/>
          <w:szCs w:val="24"/>
          <w:lang w:val="uk-UA"/>
        </w:rPr>
        <w:t>文学评论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–1986. - № 1.</w:t>
      </w:r>
      <w:r w:rsidRPr="00176656">
        <w:rPr>
          <w:rFonts w:ascii="Times New Roman" w:eastAsia="TimesNewRoman" w:hAnsi="Times New Roman"/>
          <w:sz w:val="24"/>
          <w:szCs w:val="24"/>
          <w:lang w:val="en-US"/>
        </w:rPr>
        <w:t> 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–</w:t>
      </w:r>
      <w:r w:rsidRPr="00176656">
        <w:rPr>
          <w:rFonts w:ascii="Times New Roman" w:hAnsi="Times New Roman"/>
          <w:sz w:val="24"/>
          <w:szCs w:val="24"/>
          <w:lang w:val="uk-UA"/>
        </w:rPr>
        <w:t>第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3-19</w:t>
      </w:r>
      <w:r w:rsidRPr="00176656">
        <w:rPr>
          <w:rFonts w:ascii="Times New Roman" w:hAnsi="Times New Roman"/>
          <w:sz w:val="24"/>
          <w:szCs w:val="24"/>
          <w:lang w:val="uk-UA"/>
        </w:rPr>
        <w:t>页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.</w:t>
      </w:r>
    </w:p>
    <w:p w:rsidR="00DF1F73" w:rsidRPr="00DF1F73" w:rsidRDefault="00DF1F73" w:rsidP="003C2BF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eastAsia="zh-CN"/>
        </w:rPr>
      </w:pPr>
    </w:p>
    <w:p w:rsidR="00DA0FBF" w:rsidRDefault="00C72687" w:rsidP="00DA0FBF">
      <w:pPr>
        <w:pStyle w:val="3"/>
        <w:numPr>
          <w:ilvl w:val="0"/>
          <w:numId w:val="4"/>
        </w:numPr>
        <w:tabs>
          <w:tab w:val="clear" w:pos="900"/>
          <w:tab w:val="left" w:pos="142"/>
        </w:tabs>
        <w:ind w:hanging="616"/>
        <w:jc w:val="both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 w:rsidR="006D118A">
        <w:rPr>
          <w:sz w:val="22"/>
          <w:szCs w:val="22"/>
        </w:rPr>
        <w:t>го контролю успішності навчання</w:t>
      </w:r>
      <w:r w:rsidR="00DF1F73">
        <w:rPr>
          <w:sz w:val="22"/>
          <w:szCs w:val="22"/>
        </w:rPr>
        <w:t xml:space="preserve"> ___</w:t>
      </w:r>
      <w:r w:rsidR="00685F2B">
        <w:rPr>
          <w:sz w:val="22"/>
          <w:szCs w:val="22"/>
        </w:rPr>
        <w:t>___</w:t>
      </w:r>
      <w:r w:rsidR="005B0B7B" w:rsidRPr="005B0B7B">
        <w:rPr>
          <w:sz w:val="22"/>
          <w:szCs w:val="22"/>
          <w:u w:val="single"/>
        </w:rPr>
        <w:t>_</w:t>
      </w:r>
      <w:r w:rsidR="00533050">
        <w:rPr>
          <w:sz w:val="22"/>
          <w:szCs w:val="22"/>
          <w:u w:val="single"/>
        </w:rPr>
        <w:t>6 сем., залік</w:t>
      </w:r>
      <w:r w:rsidR="005B0B7B">
        <w:rPr>
          <w:sz w:val="22"/>
          <w:szCs w:val="22"/>
        </w:rPr>
        <w:t>___</w:t>
      </w:r>
    </w:p>
    <w:p w:rsidR="008E3A98" w:rsidRPr="00DA0FBF" w:rsidRDefault="00211823" w:rsidP="00DA0FBF">
      <w:pPr>
        <w:pStyle w:val="3"/>
        <w:numPr>
          <w:ilvl w:val="0"/>
          <w:numId w:val="4"/>
        </w:numPr>
        <w:tabs>
          <w:tab w:val="clear" w:pos="900"/>
          <w:tab w:val="left" w:pos="142"/>
        </w:tabs>
        <w:ind w:hanging="616"/>
        <w:jc w:val="both"/>
        <w:rPr>
          <w:sz w:val="22"/>
          <w:szCs w:val="22"/>
        </w:rPr>
      </w:pPr>
      <w:r w:rsidRPr="00DA0FBF">
        <w:rPr>
          <w:sz w:val="22"/>
          <w:szCs w:val="22"/>
        </w:rPr>
        <w:t>Засоби діагности</w:t>
      </w:r>
      <w:r w:rsidR="00685F2B" w:rsidRPr="00DA0FBF">
        <w:rPr>
          <w:sz w:val="22"/>
          <w:szCs w:val="22"/>
        </w:rPr>
        <w:t>ки</w:t>
      </w:r>
      <w:r w:rsidR="00DA0FBF">
        <w:rPr>
          <w:sz w:val="22"/>
          <w:szCs w:val="22"/>
        </w:rPr>
        <w:t xml:space="preserve"> успішності навчання:</w:t>
      </w:r>
      <w:r w:rsidRPr="00DA0FBF">
        <w:rPr>
          <w:sz w:val="22"/>
          <w:szCs w:val="22"/>
        </w:rPr>
        <w:t xml:space="preserve"> </w:t>
      </w:r>
      <w:r w:rsidR="005B0B7B" w:rsidRPr="00DA0FBF">
        <w:rPr>
          <w:sz w:val="24"/>
        </w:rPr>
        <w:t xml:space="preserve">тестовий контроль, </w:t>
      </w:r>
      <w:r w:rsidR="00AE62E2" w:rsidRPr="00DA0FBF">
        <w:rPr>
          <w:sz w:val="24"/>
        </w:rPr>
        <w:t xml:space="preserve">диктант, читання, </w:t>
      </w:r>
      <w:r w:rsidR="006132E4" w:rsidRPr="00DA0FBF">
        <w:rPr>
          <w:sz w:val="24"/>
        </w:rPr>
        <w:t xml:space="preserve">бліцопитування, </w:t>
      </w:r>
      <w:r w:rsidR="005B0B7B" w:rsidRPr="00DA0FBF">
        <w:rPr>
          <w:sz w:val="24"/>
        </w:rPr>
        <w:t>практична контрольна перевірка, виконання завдань на переклад текстів та автокоментар</w:t>
      </w:r>
      <w:r w:rsidR="006132E4" w:rsidRPr="00DA0FBF">
        <w:rPr>
          <w:sz w:val="24"/>
        </w:rPr>
        <w:t>.</w:t>
      </w:r>
    </w:p>
    <w:p w:rsidR="00410157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</w:rPr>
      </w:pPr>
    </w:p>
    <w:p w:rsidR="00410157" w:rsidRDefault="00410157" w:rsidP="00410157">
      <w:pPr>
        <w:ind w:left="900"/>
        <w:contextualSpacing/>
        <w:rPr>
          <w:szCs w:val="28"/>
        </w:rPr>
      </w:pPr>
    </w:p>
    <w:p w:rsidR="00410157" w:rsidRDefault="00410157" w:rsidP="00410157">
      <w:pPr>
        <w:ind w:left="900"/>
        <w:contextualSpacing/>
        <w:jc w:val="both"/>
        <w:rPr>
          <w:szCs w:val="28"/>
        </w:rPr>
      </w:pPr>
      <w:r>
        <w:rPr>
          <w:szCs w:val="28"/>
        </w:rPr>
        <w:t>Підпис авторів програми</w:t>
      </w:r>
    </w:p>
    <w:p w:rsidR="00410157" w:rsidRDefault="00410157" w:rsidP="00410157">
      <w:pPr>
        <w:ind w:left="900"/>
        <w:contextualSpacing/>
        <w:jc w:val="both"/>
        <w:rPr>
          <w:szCs w:val="28"/>
        </w:rPr>
      </w:pPr>
    </w:p>
    <w:p w:rsidR="00410157" w:rsidRDefault="00410157" w:rsidP="00410157">
      <w:pPr>
        <w:ind w:left="900"/>
        <w:contextualSpacing/>
        <w:jc w:val="both"/>
      </w:pPr>
      <w:r>
        <w:t>Підпис завідувача кафедри</w:t>
      </w:r>
    </w:p>
    <w:p w:rsidR="00410157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  <w:lang w:val="ru-RU"/>
        </w:rPr>
      </w:pPr>
    </w:p>
    <w:p w:rsidR="00410157" w:rsidRPr="005B0B7B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  <w:lang w:val="ru-RU"/>
        </w:rPr>
      </w:pPr>
    </w:p>
    <w:sectPr w:rsidR="00410157" w:rsidRPr="005B0B7B" w:rsidSect="00087882">
      <w:headerReference w:type="default" r:id="rId13"/>
      <w:footerReference w:type="even" r:id="rId14"/>
      <w:footerReference w:type="default" r:id="rId15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40" w:rsidRDefault="00A96240">
      <w:r>
        <w:separator/>
      </w:r>
    </w:p>
  </w:endnote>
  <w:endnote w:type="continuationSeparator" w:id="1">
    <w:p w:rsidR="00A96240" w:rsidRDefault="00A9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104E89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2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52F6" w:rsidRDefault="000552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0552F6" w:rsidP="00C72687">
    <w:pPr>
      <w:pStyle w:val="a5"/>
      <w:framePr w:wrap="around" w:vAnchor="text" w:hAnchor="margin" w:xAlign="center" w:y="1"/>
      <w:rPr>
        <w:rStyle w:val="a6"/>
      </w:rPr>
    </w:pPr>
  </w:p>
  <w:p w:rsidR="000552F6" w:rsidRDefault="000552F6" w:rsidP="001B5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40" w:rsidRDefault="00A96240">
      <w:r>
        <w:separator/>
      </w:r>
    </w:p>
  </w:footnote>
  <w:footnote w:type="continuationSeparator" w:id="1">
    <w:p w:rsidR="00A96240" w:rsidRDefault="00A9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104E89">
    <w:pPr>
      <w:pStyle w:val="a9"/>
      <w:jc w:val="center"/>
    </w:pPr>
    <w:r>
      <w:fldChar w:fldCharType="begin"/>
    </w:r>
    <w:r w:rsidR="00E5221A">
      <w:instrText xml:space="preserve"> PAGE   \* MERGEFORMAT </w:instrText>
    </w:r>
    <w:r>
      <w:fldChar w:fldCharType="separate"/>
    </w:r>
    <w:r w:rsidR="008C6F4A">
      <w:rPr>
        <w:noProof/>
      </w:rPr>
      <w:t>2</w:t>
    </w:r>
    <w:r>
      <w:rPr>
        <w:noProof/>
      </w:rPr>
      <w:fldChar w:fldCharType="end"/>
    </w:r>
  </w:p>
  <w:p w:rsidR="000552F6" w:rsidRDefault="000552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F26553"/>
    <w:multiLevelType w:val="hybridMultilevel"/>
    <w:tmpl w:val="F3AA8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03F46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A7E9A"/>
    <w:multiLevelType w:val="hybridMultilevel"/>
    <w:tmpl w:val="7292B234"/>
    <w:lvl w:ilvl="0" w:tplc="5EF2E7BA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ascii="Times New Roman" w:hAnsi="Times New Roman" w:cs="Times New Roman"/>
      </w:rPr>
    </w:lvl>
  </w:abstractNum>
  <w:abstractNum w:abstractNumId="9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5721490F"/>
    <w:multiLevelType w:val="hybridMultilevel"/>
    <w:tmpl w:val="690A3050"/>
    <w:lvl w:ilvl="0" w:tplc="000000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1C62170"/>
    <w:multiLevelType w:val="hybridMultilevel"/>
    <w:tmpl w:val="7B68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BC696D"/>
    <w:multiLevelType w:val="hybridMultilevel"/>
    <w:tmpl w:val="A7584E22"/>
    <w:lvl w:ilvl="0" w:tplc="000000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47FCC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84D75"/>
    <w:multiLevelType w:val="hybridMultilevel"/>
    <w:tmpl w:val="712C2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92E5E"/>
    <w:multiLevelType w:val="hybridMultilevel"/>
    <w:tmpl w:val="EC7AA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D7A1F"/>
    <w:multiLevelType w:val="hybridMultilevel"/>
    <w:tmpl w:val="713E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8581C15"/>
    <w:multiLevelType w:val="hybridMultilevel"/>
    <w:tmpl w:val="0F9C1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9"/>
  </w:num>
  <w:num w:numId="5">
    <w:abstractNumId w:val="5"/>
  </w:num>
  <w:num w:numId="6">
    <w:abstractNumId w:val="13"/>
  </w:num>
  <w:num w:numId="7">
    <w:abstractNumId w:val="21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17"/>
  </w:num>
  <w:num w:numId="14">
    <w:abstractNumId w:val="15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98"/>
    <w:rsid w:val="00016457"/>
    <w:rsid w:val="00042AF9"/>
    <w:rsid w:val="000450A9"/>
    <w:rsid w:val="000552F6"/>
    <w:rsid w:val="0006147D"/>
    <w:rsid w:val="00070CF6"/>
    <w:rsid w:val="00087882"/>
    <w:rsid w:val="00094DD9"/>
    <w:rsid w:val="000A43E3"/>
    <w:rsid w:val="000F0F86"/>
    <w:rsid w:val="000F13FC"/>
    <w:rsid w:val="00104E89"/>
    <w:rsid w:val="00111F52"/>
    <w:rsid w:val="00115A59"/>
    <w:rsid w:val="00133290"/>
    <w:rsid w:val="00176656"/>
    <w:rsid w:val="001B3A5E"/>
    <w:rsid w:val="001B566B"/>
    <w:rsid w:val="00211823"/>
    <w:rsid w:val="00222277"/>
    <w:rsid w:val="002359D3"/>
    <w:rsid w:val="002403A2"/>
    <w:rsid w:val="002440B4"/>
    <w:rsid w:val="00244365"/>
    <w:rsid w:val="00247831"/>
    <w:rsid w:val="00252421"/>
    <w:rsid w:val="00252465"/>
    <w:rsid w:val="00254BF8"/>
    <w:rsid w:val="00262C11"/>
    <w:rsid w:val="00270E72"/>
    <w:rsid w:val="002915FD"/>
    <w:rsid w:val="002D4B88"/>
    <w:rsid w:val="002D7CE5"/>
    <w:rsid w:val="002E025F"/>
    <w:rsid w:val="002F433B"/>
    <w:rsid w:val="00306DC8"/>
    <w:rsid w:val="00307CF9"/>
    <w:rsid w:val="00323611"/>
    <w:rsid w:val="003B41B5"/>
    <w:rsid w:val="003C2BF7"/>
    <w:rsid w:val="003D0063"/>
    <w:rsid w:val="003E2D36"/>
    <w:rsid w:val="00404C2E"/>
    <w:rsid w:val="00410157"/>
    <w:rsid w:val="0041481E"/>
    <w:rsid w:val="0042764D"/>
    <w:rsid w:val="00434898"/>
    <w:rsid w:val="00435595"/>
    <w:rsid w:val="00450A50"/>
    <w:rsid w:val="00480CD9"/>
    <w:rsid w:val="00496B8D"/>
    <w:rsid w:val="004B7DA5"/>
    <w:rsid w:val="004D0A24"/>
    <w:rsid w:val="004D1807"/>
    <w:rsid w:val="00520E79"/>
    <w:rsid w:val="00533050"/>
    <w:rsid w:val="00560763"/>
    <w:rsid w:val="00580DDC"/>
    <w:rsid w:val="005810CD"/>
    <w:rsid w:val="005A7D5F"/>
    <w:rsid w:val="005B0B7B"/>
    <w:rsid w:val="005B1796"/>
    <w:rsid w:val="005B5945"/>
    <w:rsid w:val="005E10C4"/>
    <w:rsid w:val="00600074"/>
    <w:rsid w:val="00602AC3"/>
    <w:rsid w:val="006132E4"/>
    <w:rsid w:val="00644A98"/>
    <w:rsid w:val="00651DB5"/>
    <w:rsid w:val="006526EB"/>
    <w:rsid w:val="006754EE"/>
    <w:rsid w:val="00676930"/>
    <w:rsid w:val="006818BC"/>
    <w:rsid w:val="00685F2B"/>
    <w:rsid w:val="006A635D"/>
    <w:rsid w:val="006D118A"/>
    <w:rsid w:val="006D5A41"/>
    <w:rsid w:val="006E17C8"/>
    <w:rsid w:val="00705C77"/>
    <w:rsid w:val="00720A1E"/>
    <w:rsid w:val="00720E0A"/>
    <w:rsid w:val="0072313E"/>
    <w:rsid w:val="00730784"/>
    <w:rsid w:val="00742663"/>
    <w:rsid w:val="007441C2"/>
    <w:rsid w:val="00746591"/>
    <w:rsid w:val="00746C24"/>
    <w:rsid w:val="00751CB3"/>
    <w:rsid w:val="00757B30"/>
    <w:rsid w:val="00762C1E"/>
    <w:rsid w:val="00776CD6"/>
    <w:rsid w:val="007835F0"/>
    <w:rsid w:val="007844CE"/>
    <w:rsid w:val="007C6CAE"/>
    <w:rsid w:val="007D0182"/>
    <w:rsid w:val="007E2510"/>
    <w:rsid w:val="0082796D"/>
    <w:rsid w:val="008318E0"/>
    <w:rsid w:val="0085049E"/>
    <w:rsid w:val="00852A47"/>
    <w:rsid w:val="00863304"/>
    <w:rsid w:val="00865946"/>
    <w:rsid w:val="00895EBD"/>
    <w:rsid w:val="008A7B18"/>
    <w:rsid w:val="008C6F4A"/>
    <w:rsid w:val="008D50C0"/>
    <w:rsid w:val="008E3A98"/>
    <w:rsid w:val="008F41FF"/>
    <w:rsid w:val="009007D0"/>
    <w:rsid w:val="00914E4E"/>
    <w:rsid w:val="0092459F"/>
    <w:rsid w:val="00934D8F"/>
    <w:rsid w:val="00940077"/>
    <w:rsid w:val="009944BD"/>
    <w:rsid w:val="009C5246"/>
    <w:rsid w:val="009E5B97"/>
    <w:rsid w:val="00A07F58"/>
    <w:rsid w:val="00A42441"/>
    <w:rsid w:val="00A43984"/>
    <w:rsid w:val="00A96240"/>
    <w:rsid w:val="00AC1760"/>
    <w:rsid w:val="00AE1F39"/>
    <w:rsid w:val="00AE62E2"/>
    <w:rsid w:val="00B27EB6"/>
    <w:rsid w:val="00B30E4B"/>
    <w:rsid w:val="00B324B8"/>
    <w:rsid w:val="00B4039A"/>
    <w:rsid w:val="00B56218"/>
    <w:rsid w:val="00B86C34"/>
    <w:rsid w:val="00B87E4F"/>
    <w:rsid w:val="00BA53C2"/>
    <w:rsid w:val="00BC793C"/>
    <w:rsid w:val="00BF40BE"/>
    <w:rsid w:val="00C21474"/>
    <w:rsid w:val="00C258E9"/>
    <w:rsid w:val="00C25C6D"/>
    <w:rsid w:val="00C72687"/>
    <w:rsid w:val="00CA7344"/>
    <w:rsid w:val="00CD63CA"/>
    <w:rsid w:val="00CD6923"/>
    <w:rsid w:val="00CD7C99"/>
    <w:rsid w:val="00CE5E91"/>
    <w:rsid w:val="00D171A4"/>
    <w:rsid w:val="00D32E10"/>
    <w:rsid w:val="00DA0FBF"/>
    <w:rsid w:val="00DA5468"/>
    <w:rsid w:val="00DB2CB6"/>
    <w:rsid w:val="00DF1F73"/>
    <w:rsid w:val="00E21FA3"/>
    <w:rsid w:val="00E23046"/>
    <w:rsid w:val="00E272CA"/>
    <w:rsid w:val="00E5221A"/>
    <w:rsid w:val="00E53048"/>
    <w:rsid w:val="00E6235C"/>
    <w:rsid w:val="00E675B5"/>
    <w:rsid w:val="00E768DD"/>
    <w:rsid w:val="00E77851"/>
    <w:rsid w:val="00EA5162"/>
    <w:rsid w:val="00ED28E2"/>
    <w:rsid w:val="00F02CFD"/>
    <w:rsid w:val="00F4734A"/>
    <w:rsid w:val="00FC49C2"/>
    <w:rsid w:val="00FC7B0C"/>
    <w:rsid w:val="00FE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7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11F5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11F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11F52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111F52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F52"/>
    <w:rPr>
      <w:sz w:val="28"/>
    </w:rPr>
  </w:style>
  <w:style w:type="paragraph" w:styleId="a4">
    <w:name w:val="Body Text Indent"/>
    <w:basedOn w:val="a"/>
    <w:rsid w:val="00111F52"/>
    <w:pPr>
      <w:ind w:firstLine="540"/>
    </w:pPr>
    <w:rPr>
      <w:sz w:val="28"/>
    </w:rPr>
  </w:style>
  <w:style w:type="paragraph" w:styleId="20">
    <w:name w:val="Body Text Indent 2"/>
    <w:basedOn w:val="a"/>
    <w:rsid w:val="00111F52"/>
    <w:pPr>
      <w:ind w:left="1440" w:hanging="720"/>
    </w:pPr>
    <w:rPr>
      <w:sz w:val="28"/>
    </w:rPr>
  </w:style>
  <w:style w:type="paragraph" w:styleId="30">
    <w:name w:val="Body Text Indent 3"/>
    <w:basedOn w:val="a"/>
    <w:rsid w:val="00111F52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styleId="ab">
    <w:name w:val="List Paragraph"/>
    <w:basedOn w:val="a"/>
    <w:qFormat/>
    <w:rsid w:val="00176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styleId="ac">
    <w:name w:val="Hyperlink"/>
    <w:uiPriority w:val="99"/>
    <w:semiHidden/>
    <w:unhideWhenUsed/>
    <w:rsid w:val="00176656"/>
    <w:rPr>
      <w:color w:val="0000FF"/>
      <w:u w:val="single"/>
    </w:rPr>
  </w:style>
  <w:style w:type="character" w:customStyle="1" w:styleId="fn">
    <w:name w:val="fn"/>
    <w:basedOn w:val="a0"/>
    <w:rsid w:val="00176656"/>
  </w:style>
  <w:style w:type="character" w:customStyle="1" w:styleId="10">
    <w:name w:val="Подзаголовок1"/>
    <w:basedOn w:val="a0"/>
    <w:rsid w:val="00176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ua/search?hl=ru&amp;tbo=p&amp;tbm=bks&amp;q=inauthor:%22Jeffrey+C.+Kinkley%2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.ua/search?hl=ru&amp;tbo=p&amp;tbm=bks&amp;q=inauthor:%22Jeffrey+C.+Kinkley%22" TargetMode="External"/><Relationship Id="rId12" Type="http://schemas.openxmlformats.org/officeDocument/2006/relationships/hyperlink" Target="http://baike.baidu.com/view/158185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20421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aike.baidu.com/view/204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ua/search?hl=ru&amp;tbo=p&amp;tbm=bks&amp;q=inauthor:%22Jeffrey+C.+Kinkley%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2013-10-02T20:50:00Z</cp:lastPrinted>
  <dcterms:created xsi:type="dcterms:W3CDTF">2017-12-09T18:37:00Z</dcterms:created>
  <dcterms:modified xsi:type="dcterms:W3CDTF">2018-01-16T09:25:00Z</dcterms:modified>
</cp:coreProperties>
</file>