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F1" w:rsidRPr="000C6BF1" w:rsidRDefault="000C6BF1" w:rsidP="000C6BF1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000000"/>
          <w:sz w:val="24"/>
          <w:szCs w:val="28"/>
          <w:lang w:eastAsia="ru-RU"/>
        </w:rPr>
      </w:pPr>
      <w:r w:rsidRPr="000C6BF1">
        <w:rPr>
          <w:rFonts w:ascii="Cambria" w:eastAsia="Times New Roman" w:hAnsi="Cambria" w:cs="Times New Roman"/>
          <w:bCs/>
          <w:caps/>
          <w:color w:val="000000"/>
          <w:sz w:val="24"/>
          <w:szCs w:val="28"/>
          <w:lang w:eastAsia="ru-RU"/>
        </w:rPr>
        <w:t>Міністерство освіти і науки України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Дніп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</w:t>
      </w:r>
      <w:r w:rsidR="00501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ський національний університет імені Олеся Гончара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Факультет_української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й іноземної філології та мистецтвознавства__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Кафедра__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української    літератури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ОСНОВИ АНАЛІЗУ ЛІТЕРАТУРНО-ХУДОЖНЬОГО ТВОРУ 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8"/>
          <w:lang w:val="ru-RU" w:eastAsia="ru-RU"/>
        </w:rPr>
      </w:pPr>
    </w:p>
    <w:p w:rsidR="000C6BF1" w:rsidRPr="000C6BF1" w:rsidRDefault="000C6BF1" w:rsidP="000C6BF1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000000"/>
          <w:sz w:val="24"/>
          <w:szCs w:val="28"/>
          <w:lang w:val="ru-RU" w:eastAsia="ru-RU"/>
        </w:rPr>
      </w:pPr>
      <w:r w:rsidRPr="000C6BF1">
        <w:rPr>
          <w:rFonts w:ascii="Cambria" w:eastAsia="Times New Roman" w:hAnsi="Cambria" w:cs="Times New Roman"/>
          <w:bCs/>
          <w:caps/>
          <w:color w:val="000000"/>
          <w:sz w:val="24"/>
          <w:szCs w:val="28"/>
          <w:lang w:val="ru-RU" w:eastAsia="ru-RU"/>
        </w:rPr>
        <w:t>Програма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навчальної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дисципліни</w:t>
      </w:r>
      <w:proofErr w:type="spellEnd"/>
      <w:r w:rsidR="005015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="005015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вибором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proofErr w:type="gram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ідготовки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бакалавра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</w:p>
    <w:p w:rsidR="000C6BF1" w:rsidRPr="000C6BF1" w:rsidRDefault="005015EC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спеціальності</w:t>
      </w:r>
      <w:r w:rsidR="000C6BF1"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035</w:t>
      </w:r>
      <w:r w:rsidR="009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0C6BF1"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C6BF1"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Філологія (українська мова та література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(Шифр за ОПП</w:t>
      </w:r>
      <w:r w:rsidR="009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ПП 3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C6BF1" w:rsidRPr="000C6BF1" w:rsidRDefault="00DB43F9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Дніпро</w:t>
      </w:r>
      <w:proofErr w:type="spellEnd"/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E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ік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РОЗРОБЛЕНО ТА ВНЕСЕНО:</w:t>
      </w:r>
      <w:r w:rsidRPr="000C6BF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0C6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Дніпровський національний університет імені Олеся Гончара </w:t>
      </w:r>
      <w:r w:rsidRPr="000C6BF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                                                           </w:t>
      </w:r>
    </w:p>
    <w:p w:rsidR="000C6BF1" w:rsidRPr="009E3FAE" w:rsidRDefault="000C6BF1" w:rsidP="000C6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РОЗРОБНИК ПРОГРАМИ: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Ромас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доц., кафедри української літератури, к.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філол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н.</w:t>
      </w: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</w:t>
      </w: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Обговорено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схвалено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-методичною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комісією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E3F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="009E3F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E3FAE">
        <w:rPr>
          <w:rFonts w:ascii="Times New Roman" w:eastAsia="Times New Roman" w:hAnsi="Times New Roman" w:cs="Times New Roman"/>
          <w:sz w:val="24"/>
          <w:szCs w:val="24"/>
          <w:lang w:eastAsia="ru-RU"/>
        </w:rPr>
        <w:t>5.01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Філологія (українська мова та література) 3</w:t>
      </w:r>
      <w:r w:rsidR="009E3F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. 08.201</w:t>
      </w:r>
      <w:r w:rsidR="009E3F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протокол № 1.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Вступ</w:t>
      </w: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“Основи аналізу літературно-художнього твору”</w:t>
      </w:r>
    </w:p>
    <w:p w:rsidR="000C6BF1" w:rsidRPr="000C6BF1" w:rsidRDefault="000C6BF1" w:rsidP="000C6BF1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вивчення вибіркової навчальної дисципліни “Основи аналізу літературно-художнього твору”</w:t>
      </w:r>
    </w:p>
    <w:p w:rsidR="000C6BF1" w:rsidRPr="000C6BF1" w:rsidRDefault="000C6BF1" w:rsidP="000C6BF1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освітньо-професійної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ідготовки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бакалавра спеціальності 035.01 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Філологія (українська мова та література)</w:t>
      </w:r>
    </w:p>
    <w:p w:rsidR="000C6BF1" w:rsidRPr="000C6BF1" w:rsidRDefault="000C6BF1" w:rsidP="000C6BF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</w:t>
      </w:r>
    </w:p>
    <w:p w:rsidR="000C6BF1" w:rsidRPr="000C6BF1" w:rsidRDefault="000C6BF1" w:rsidP="000C6BF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Предметом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специфіка аналізу художнього твору в аспекті естетичних категорій.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Міждисциплінарні</w:t>
      </w:r>
      <w:proofErr w:type="spellEnd"/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зв’язки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вивчення дисципліни необхідні знання студентів із «Вступу до літературознавства», «Історії української літератури», «Естетика».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змістових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Поняття аналізу та синтезу в широкому та вузькому значенні.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аналізу художнього твору.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Мета та </w:t>
      </w:r>
      <w:proofErr w:type="spellStart"/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дисципліни</w:t>
      </w:r>
      <w:proofErr w:type="spellEnd"/>
    </w:p>
    <w:p w:rsidR="000C6BF1" w:rsidRPr="000C6BF1" w:rsidRDefault="000C6BF1" w:rsidP="000C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1.1.Метою викладання навчальної дисципліни 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“Основи аналізу літературно-художнього твору” </w:t>
      </w:r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є: 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сучасної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літературознавчої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науки подати студентам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 одного з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кардинальних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професіональної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підготовки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випускників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-словесника, 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при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випускних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дипломних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доповідей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повідомлень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студентській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конференції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C6BF1" w:rsidRPr="000C6BF1" w:rsidRDefault="000C6BF1" w:rsidP="000C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Основними завданнями вивчення дисципліни “Основи аналізу літературно-художнього твору” </w:t>
      </w:r>
      <w:r w:rsidRPr="000C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процесі роботи р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озкрити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літературознавчого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специфіки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жанрів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З’ясувати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взаємозв’язок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ізними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рівнями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Озброїти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практичними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навичками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заданому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зокрема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глибшому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проникненні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природу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360"/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Згідно з вимогами освітньо-професійної програми студенти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0C6BF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 w:eastAsia="ru-RU"/>
        </w:rPr>
        <w:t>з н а т и</w:t>
      </w:r>
      <w:r w:rsidRPr="000C6B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: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шляхи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ітературознавчого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сутність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понять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тві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система, як друга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реальність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буттєва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модель, як результат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взаємодії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(автора) 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дійсності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наповненість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шляхи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ідготовлений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фахівець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повинен </w:t>
      </w:r>
      <w:r w:rsidRPr="000C6B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 м і т и</w:t>
      </w:r>
      <w:r w:rsidRPr="000C6BF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: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самостійно аналізувати словесну, сюжетно-композиційну та жанрову форми;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застосовувати на практиці основні методи, прийоми аналізу художнього твору;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розкривати суб’єктну та </w:t>
      </w:r>
      <w:proofErr w:type="spellStart"/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позасуб’єктну</w:t>
      </w:r>
      <w:proofErr w:type="spellEnd"/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структуру твору, форми вираження авторської свідомості;</w:t>
      </w:r>
    </w:p>
    <w:p w:rsidR="000C6BF1" w:rsidRPr="000C6BF1" w:rsidRDefault="000C6BF1" w:rsidP="000C6BF1">
      <w:pPr>
        <w:numPr>
          <w:ilvl w:val="1"/>
          <w:numId w:val="1"/>
        </w:numPr>
        <w:tabs>
          <w:tab w:val="left" w:pos="3240"/>
          <w:tab w:val="left" w:pos="70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досліджувати естетичну природу твору.</w:t>
      </w:r>
    </w:p>
    <w:p w:rsidR="000C6BF1" w:rsidRPr="000C6BF1" w:rsidRDefault="000C6BF1" w:rsidP="000C6BF1">
      <w:pPr>
        <w:tabs>
          <w:tab w:val="left" w:pos="3240"/>
          <w:tab w:val="left" w:pos="7020"/>
        </w:tabs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На вивчення навчальної дисципліни відводиться 12</w:t>
      </w:r>
      <w:r w:rsidR="00BE6AD7">
        <w:rPr>
          <w:rFonts w:ascii="Times New Roman" w:eastAsia="MS Mincho" w:hAnsi="Times New Roman" w:cs="Times New Roman"/>
          <w:sz w:val="24"/>
          <w:szCs w:val="24"/>
          <w:lang w:eastAsia="uk-UA"/>
        </w:rPr>
        <w:t>0</w:t>
      </w: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годин / </w:t>
      </w:r>
      <w:r w:rsidR="00BE6AD7">
        <w:rPr>
          <w:rFonts w:ascii="Times New Roman" w:eastAsia="MS Mincho" w:hAnsi="Times New Roman" w:cs="Times New Roman"/>
          <w:sz w:val="24"/>
          <w:szCs w:val="24"/>
          <w:lang w:eastAsia="uk-UA"/>
        </w:rPr>
        <w:t>4</w:t>
      </w: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,</w:t>
      </w:r>
      <w:r w:rsidR="00BE6AD7">
        <w:rPr>
          <w:rFonts w:ascii="Times New Roman" w:eastAsia="MS Mincho" w:hAnsi="Times New Roman" w:cs="Times New Roman"/>
          <w:sz w:val="24"/>
          <w:szCs w:val="24"/>
          <w:lang w:eastAsia="uk-UA"/>
        </w:rPr>
        <w:t>0</w:t>
      </w: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кредити </w:t>
      </w:r>
      <w:r w:rsidRPr="000C6BF1">
        <w:rPr>
          <w:rFonts w:ascii="Times New Roman" w:eastAsia="MS Mincho" w:hAnsi="Times New Roman" w:cs="Times New Roman"/>
          <w:sz w:val="24"/>
          <w:szCs w:val="24"/>
          <w:lang w:val="en-US" w:eastAsia="uk-UA"/>
        </w:rPr>
        <w:t>ECTS</w:t>
      </w:r>
      <w:r w:rsidRPr="000C6BF1">
        <w:rPr>
          <w:rFonts w:ascii="Times New Roman" w:eastAsia="MS Mincho" w:hAnsi="Times New Roman" w:cs="Times New Roman"/>
          <w:sz w:val="24"/>
          <w:szCs w:val="24"/>
          <w:lang w:eastAsia="uk-UA"/>
        </w:rPr>
        <w:t>.</w:t>
      </w:r>
    </w:p>
    <w:p w:rsidR="000C6BF1" w:rsidRPr="000C6BF1" w:rsidRDefault="000C6BF1" w:rsidP="000C6BF1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24"/>
          <w:szCs w:val="28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Інформаційний обсяг навчальної дисципліни</w:t>
      </w:r>
    </w:p>
    <w:p w:rsidR="000C6BF1" w:rsidRPr="000C6BF1" w:rsidRDefault="000C6BF1" w:rsidP="000C6BF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ЗМІСТОВИЙ МОДУЛЬ І.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Поняття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синтезу </w:t>
      </w:r>
      <w:proofErr w:type="gram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широкому і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вузькому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значенні</w:t>
      </w:r>
      <w:proofErr w:type="spellEnd"/>
      <w:r w:rsidRPr="000C6B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1260"/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</w:t>
      </w: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параметр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методу,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специфіка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виявлення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творах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1260"/>
          <w:tab w:val="left" w:pos="32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Особливості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літературознавчого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як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специфічної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художньої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образної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емоційної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gram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ізнання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відображення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дійсності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Дві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системи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пізнання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відображення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дійсності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Дві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системи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пізнання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відображення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дійсності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спільне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відмінне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Принципи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Мовознавчий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літературознавчий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аналіз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Історико-порівняльний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синхрон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но-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діахронний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аналітично-синтетичний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</w:t>
      </w:r>
      <w:proofErr w:type="gram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іологічний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метод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вульгарний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соціологізм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Література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як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націотворчий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фактор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Структуралістський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структуральний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Художній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тві</w:t>
      </w:r>
      <w:proofErr w:type="gram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proofErr w:type="spellEnd"/>
      <w:proofErr w:type="gram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як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цілісна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система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діалектичного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взаємозв’язку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змісту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Філософське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літературознавче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трактування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категорій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змісту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Поняття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життєву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художню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працю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Художній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тві</w:t>
      </w:r>
      <w:proofErr w:type="gram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proofErr w:type="spellEnd"/>
      <w:proofErr w:type="gram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як система, як модель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буття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як друга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реальність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як результат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художньої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взаємодії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суб’єкта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об’єктом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художній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світ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Застосування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ітературознавчому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Художнє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естетичне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ї-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категорії-результати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Естетична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природа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вираження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Сутність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методика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трагічного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комічного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драматичного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потворного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Моделюючий параметр творчого методу, специфіка його виявлення у різних творчих методах. Імпресіонізм, модернізм у творчості письменників кінця 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Барокові елементи. Методика аналізу творчого методу та стилю. Текст і контекст аналізу художнього твору. Широке і вузьке розуміння цих понять. Слово в контексті художнього твору: в асоціативних зв’язках, семантичних зрушеннях і нашаруваннях. Різні рівні аналізу художнього твору. Словесна форма. Багатофункціональність художнього слова. Естетична природа та конкретна наповненість словесної форми. Словесна форма та структура художнього твору. Багатофункціональність назви, епіграфу твору. Проблематика та структура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повістування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викладу і тип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повістування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Типи оповідачів та структура вираження авторської свідомості: суб’єктна одноплановість та багатоплановість, перехідний тип структури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повістування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Позасубєктна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вираження авторської свідомості.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ЗМІСТОВИЙ МОДУЛЬ ІІ. Методика аналізу художніх творів.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1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 аналізу сюжетних образів і поетичного синтаксису. 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Образність як визначальна ознака художнього відображення. Специфіка образу як певної конкретно-чуттєвої форми відображення. Образи-персонажі та засоби їх творення. Принципи групування образів. Різні типи класифікуй художніх образів. Образ часу, простору.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Мікрообрази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Художній твір як образна картина світу. Різні види синтаксичних фігур та повторів, їх функція в різних жанрах художніх творах. Асонанси, алітерації, словесні повтори. Художнє обрамлення тексту. Еліпсиси, їх різновиди. Анафора та епіфора в художньому творі. Словесна антитеза. Художній паралелізм.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2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Аналіз сюжетно-композиційної та жанрової форми. </w:t>
      </w:r>
    </w:p>
    <w:p w:rsidR="000C6BF1" w:rsidRPr="000C6BF1" w:rsidRDefault="000C6BF1" w:rsidP="000C6BF1">
      <w:pPr>
        <w:tabs>
          <w:tab w:val="left" w:pos="1260"/>
          <w:tab w:val="left" w:pos="6480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Поняття сюжету, композиції та структури художнього твору. Конфлікт, типи конфліктів та типи сюжетів твору. Елементи сюжету та композиції. Сюжетність епічних та драматичних творів та „безсюжетність” лірики. Конфлікт, різні типи конфліктів і спосіб його розгортання. Соціальний, морально-епічний характер конфлікту та його естетична природа. Особливість сюжету та композиції. Роль поза сюжетних елементів (авторські відступи, описи, епіграфи, присвяти, документ і документалізм, елементи фольклору та ін.). Автор в епічному і драматичному творі. Жанрова форма художнього твору. Співвіднесеність роду, виду і жанру. Взаємопроникнення родів і жанрів. Змістовність художніх форм жанрів. Осмислення категорії жанру в її історичній контексті. Методика жанрового аналізу у кількох взаємопов’язаних напрямах: проблемно-тематичний рівень та найвищий пафос, домінуюче родове начало, конкретний вияв якого втілюється в притаманних даному типу (жанру) художніх засобах та прийомах, традиційне і </w:t>
      </w: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новаторське в певному конкретному творі,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взаємоперетинанні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жанрових рис у загальній системі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літературних жанрів. Специфіка лірики як роду літератури. Жанр лірики. Проблема автора в ліриці. Композиційні вияви розвитку почуття: задум, „гул”, вступ, розвиток, кульмінація емоції, їх реалізація в звуковій організації твору. Особливості віршування: рима, ритм, віршовий розмір, строф, стопа. Емоційний темпоритм.</w:t>
      </w:r>
    </w:p>
    <w:p w:rsidR="000C6BF1" w:rsidRPr="000C6BF1" w:rsidRDefault="000C6BF1" w:rsidP="000C6BF1">
      <w:pPr>
        <w:keepNext/>
        <w:keepLines/>
        <w:spacing w:after="0" w:line="240" w:lineRule="auto"/>
        <w:ind w:left="1080"/>
        <w:jc w:val="both"/>
        <w:outlineLvl w:val="2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Рекомендована література</w:t>
      </w: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Анализ литературного произведения. Л.: Просвещение, 1974.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Бахтин М.М. Эстетика словесного творчества. М.: Наука, 1979.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духовності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Дніпропетровськ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1999.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Клочек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Г.Д. У </w:t>
      </w:r>
      <w:proofErr w:type="spellStart"/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ітлі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вічних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критеріїв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К., 1989.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Одинцов В.В. О языке художественной прозы. М., 1973.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Проблемы Совершенствования анализа художественного произведения.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М.,1989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Погрібний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А.Г.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Художній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конфлікт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розвиток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сучасної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прози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К., 1981.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литературного произведения.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М., 1984.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Франко</w:t>
      </w:r>
      <w:proofErr w:type="gram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І.</w:t>
      </w:r>
      <w:proofErr w:type="gram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секретів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поетичної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творчості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твори в 20-ти томах, т.16. І.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Фриз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Л.Г. Жизнь лирического жанра. М., 1973.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Фролова К.П.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художнього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твору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К., 1975.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Фролова К.П.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Теорія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методика применения эстетических категорий в литературоведческом анализе, Днепропетровск, 1985.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Зборовська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Н.В.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Психоаналіз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літературознавство</w:t>
      </w:r>
      <w:proofErr w:type="spellEnd"/>
      <w:r w:rsidRPr="000C6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К., 2003.</w:t>
      </w:r>
    </w:p>
    <w:p w:rsidR="000C6BF1" w:rsidRPr="000C6BF1" w:rsidRDefault="000C6BF1" w:rsidP="000C6BF1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 В.П. Аналіз художнього твору. – К.: «Академія», 2013. – 278 с.</w:t>
      </w:r>
    </w:p>
    <w:p w:rsidR="000C6BF1" w:rsidRPr="000C6BF1" w:rsidRDefault="000C6BF1" w:rsidP="000C6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  <w:r w:rsidRPr="000C6B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  <w:r w:rsidRPr="000C6B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  <w:r w:rsidRPr="000C6B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</w:p>
    <w:p w:rsidR="000C6BF1" w:rsidRPr="000C6BF1" w:rsidRDefault="000C6BF1" w:rsidP="000C6BF1">
      <w:pPr>
        <w:keepNext/>
        <w:keepLines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:rsidR="000C6BF1" w:rsidRPr="000C6BF1" w:rsidRDefault="000C6BF1" w:rsidP="000C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6BF1" w:rsidRPr="000C6BF1" w:rsidRDefault="000C6BF1" w:rsidP="000C6BF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C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Форма підсумкового контролю успішності навчання - залік</w:t>
      </w:r>
    </w:p>
    <w:p w:rsidR="000C6BF1" w:rsidRPr="000C6BF1" w:rsidRDefault="000C6BF1" w:rsidP="000C6BF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Засоби діагностики успішності навчання:  </w:t>
      </w:r>
    </w:p>
    <w:p w:rsidR="000C6BF1" w:rsidRPr="000C6BF1" w:rsidRDefault="000C6BF1" w:rsidP="000C6BF1">
      <w:pPr>
        <w:tabs>
          <w:tab w:val="left" w:pos="-18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Опитування на практичних заняттях;</w:t>
      </w:r>
    </w:p>
    <w:p w:rsidR="000C6BF1" w:rsidRPr="000C6BF1" w:rsidRDefault="000C6BF1" w:rsidP="000C6BF1">
      <w:pPr>
        <w:tabs>
          <w:tab w:val="left" w:pos="-18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Контрольна робота.</w:t>
      </w:r>
    </w:p>
    <w:bookmarkEnd w:id="0"/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BF1" w:rsidRPr="000C6BF1" w:rsidRDefault="000C6BF1" w:rsidP="000C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2C37" w:rsidRDefault="004B2C37"/>
    <w:sectPr w:rsidR="004B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759"/>
    <w:multiLevelType w:val="hybridMultilevel"/>
    <w:tmpl w:val="688AF3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30B3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A498E"/>
    <w:multiLevelType w:val="hybridMultilevel"/>
    <w:tmpl w:val="17F463FA"/>
    <w:lvl w:ilvl="0" w:tplc="FDB6F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7"/>
    <w:rsid w:val="000C6BF1"/>
    <w:rsid w:val="004B2C37"/>
    <w:rsid w:val="005015EC"/>
    <w:rsid w:val="00574607"/>
    <w:rsid w:val="009E3FAE"/>
    <w:rsid w:val="00B90891"/>
    <w:rsid w:val="00BE6AD7"/>
    <w:rsid w:val="00D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5939</Words>
  <Characters>3386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Lusine</cp:lastModifiedBy>
  <cp:revision>6</cp:revision>
  <dcterms:created xsi:type="dcterms:W3CDTF">2016-10-07T17:26:00Z</dcterms:created>
  <dcterms:modified xsi:type="dcterms:W3CDTF">2017-11-20T20:15:00Z</dcterms:modified>
</cp:coreProperties>
</file>