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65.0" w:type="dxa"/>
        <w:jc w:val="left"/>
        <w:tblInd w:w="-716.0" w:type="dxa"/>
        <w:tblLayout w:type="fixed"/>
        <w:tblLook w:val="0400"/>
      </w:tblPr>
      <w:tblGrid>
        <w:gridCol w:w="4200"/>
        <w:gridCol w:w="6465"/>
        <w:tblGridChange w:id="0">
          <w:tblGrid>
            <w:gridCol w:w="4200"/>
            <w:gridCol w:w="6465"/>
          </w:tblGrid>
        </w:tblGridChange>
      </w:tblGrid>
      <w:tr>
        <w:trPr>
          <w:cantSplit w:val="0"/>
          <w:trHeight w:val="225"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Код та назва дисципліни</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3">
            <w:pPr>
              <w:spacing w:after="0"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2-126-06_Планування експерименту</w:t>
            </w:r>
            <w:r w:rsidDel="00000000" w:rsidR="00000000" w:rsidRPr="00000000">
              <w:rPr>
                <w:rtl w:val="0"/>
              </w:rPr>
            </w:r>
          </w:p>
        </w:tc>
      </w:tr>
      <w:tr>
        <w:trPr>
          <w:cantSplit w:val="0"/>
          <w:trHeight w:val="375"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4">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Рекомендується для галузі знань</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i w:val="1"/>
                <w:color w:val="000000"/>
                <w:sz w:val="18"/>
                <w:szCs w:val="18"/>
                <w:rtl w:val="0"/>
              </w:rPr>
              <w:t xml:space="preserve">(спеціальності, освітньої програми)</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5">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12 Інформаційні технології</w:t>
            </w:r>
          </w:p>
        </w:tc>
      </w:tr>
      <w:tr>
        <w:trPr>
          <w:cantSplit w:val="0"/>
          <w:trHeight w:val="399"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Кафедра</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Математичного забезпечення ЕОМ</w:t>
            </w:r>
          </w:p>
        </w:tc>
      </w:tr>
      <w:tr>
        <w:trPr>
          <w:cantSplit w:val="0"/>
          <w:trHeight w:val="315"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П.І.П. НПП </w:t>
            </w:r>
            <w:r w:rsidDel="00000000" w:rsidR="00000000" w:rsidRPr="00000000">
              <w:rPr>
                <w:rFonts w:ascii="Times New Roman" w:cs="Times New Roman" w:eastAsia="Times New Roman" w:hAnsi="Times New Roman"/>
                <w:color w:val="000000"/>
                <w:sz w:val="18"/>
                <w:szCs w:val="18"/>
                <w:rtl w:val="0"/>
              </w:rPr>
              <w:t xml:space="preserve">(за можливості)</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9">
            <w:pPr>
              <w:spacing w:after="0" w:line="240" w:lineRule="auto"/>
              <w:rPr>
                <w:rFonts w:ascii="Times New Roman" w:cs="Times New Roman" w:eastAsia="Times New Roman" w:hAnsi="Times New Roman"/>
                <w:color w:val="000000"/>
                <w:sz w:val="26"/>
                <w:szCs w:val="26"/>
              </w:rPr>
            </w:pPr>
            <w:r w:rsidDel="00000000" w:rsidR="00000000" w:rsidRPr="00000000">
              <w:rPr>
                <w:rtl w:val="0"/>
              </w:rPr>
            </w:r>
          </w:p>
        </w:tc>
      </w:tr>
      <w:tr>
        <w:trPr>
          <w:cantSplit w:val="0"/>
          <w:trHeight w:val="341"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Рівень ВО</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другий  (магістерський)</w:t>
            </w:r>
          </w:p>
        </w:tc>
      </w:tr>
      <w:tr>
        <w:trPr>
          <w:cantSplit w:val="0"/>
          <w:trHeight w:val="107"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C">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Курс, семестр</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i w:val="1"/>
                <w:color w:val="000000"/>
                <w:sz w:val="18"/>
                <w:szCs w:val="18"/>
                <w:rtl w:val="0"/>
              </w:rPr>
              <w:t xml:space="preserve">(в якому буде викладатись)</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1 курс</w:t>
            </w:r>
          </w:p>
        </w:tc>
      </w:tr>
      <w:tr>
        <w:trPr>
          <w:cantSplit w:val="0"/>
          <w:trHeight w:val="208"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Мова викладання</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українська</w:t>
            </w:r>
          </w:p>
        </w:tc>
      </w:tr>
      <w:tr>
        <w:trPr>
          <w:cantSplit w:val="0"/>
          <w:trHeight w:val="356.95312499999994"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6"/>
                <w:szCs w:val="26"/>
                <w:vertAlign w:val="superscript"/>
              </w:rPr>
            </w:pPr>
            <w:r w:rsidDel="00000000" w:rsidR="00000000" w:rsidRPr="00000000">
              <w:rPr>
                <w:rFonts w:ascii="Times New Roman" w:cs="Times New Roman" w:eastAsia="Times New Roman" w:hAnsi="Times New Roman"/>
                <w:color w:val="000000"/>
                <w:sz w:val="26"/>
                <w:szCs w:val="26"/>
                <w:rtl w:val="0"/>
              </w:rPr>
              <w:t xml:space="preserve">Пререквізити</w:t>
            </w:r>
            <w:r w:rsidDel="00000000" w:rsidR="00000000" w:rsidRPr="00000000">
              <w:rPr>
                <w:rFonts w:ascii="Times New Roman" w:cs="Times New Roman" w:eastAsia="Times New Roman" w:hAnsi="Times New Roman"/>
                <w:i w:val="1"/>
                <w:sz w:val="18"/>
                <w:szCs w:val="18"/>
                <w:rtl w:val="0"/>
              </w:rPr>
              <w:t xml:space="preserve"> (передумови вивчення дисципліни) </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Теоріяй ймовірностей. Регресійний аналіз.</w:t>
            </w:r>
            <w:r w:rsidDel="00000000" w:rsidR="00000000" w:rsidRPr="00000000">
              <w:rPr>
                <w:rtl w:val="0"/>
              </w:rPr>
            </w:r>
          </w:p>
        </w:tc>
      </w:tr>
      <w:tr>
        <w:trPr>
          <w:cantSplit w:val="0"/>
          <w:trHeight w:val="327"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Що буде вивчатися</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Основні поняття планування та методологія експерименту. Помилки вимірювань. Активний експеримент. Обґрунтування вибору плану. Рівні варіювання. Кількість експериментів. Конструювання плану експерименту. Повний факторний експеримент. Дробовий факторний експеримент. Обробка результатів експерименту. </w:t>
            </w:r>
          </w:p>
        </w:tc>
      </w:tr>
      <w:tr>
        <w:trPr>
          <w:cantSplit w:val="0"/>
          <w:trHeight w:val="722"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Чому це цікаво/треба вивчати</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Планування експерименту засновано на вирішенні задачі </w:t>
            </w:r>
            <w:r w:rsidDel="00000000" w:rsidR="00000000" w:rsidRPr="00000000">
              <w:rPr>
                <w:rFonts w:ascii="Times New Roman" w:cs="Times New Roman" w:eastAsia="Times New Roman" w:hAnsi="Times New Roman"/>
                <w:sz w:val="24"/>
                <w:szCs w:val="24"/>
                <w:rtl w:val="0"/>
              </w:rPr>
              <w:t xml:space="preserve">знаходження сукупності варійованих факторів, при яких обрана цільова функція (параметр оптимізації) набуває екстремального значення. При такому підході здійснюється мінімальна кількість дослідів, що дозволяє зробити на кожному етапі надійну статистичну оцінку. Побудована модель може бути застосована для знаходження необхідних режимів роботи процесу і управління ним. </w:t>
            </w:r>
            <w:r w:rsidDel="00000000" w:rsidR="00000000" w:rsidRPr="00000000">
              <w:rPr>
                <w:rtl w:val="0"/>
              </w:rPr>
            </w:r>
          </w:p>
        </w:tc>
      </w:tr>
      <w:tr>
        <w:trPr>
          <w:cantSplit w:val="0"/>
          <w:trHeight w:val="722"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6">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Чого можна навчитися</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i w:val="1"/>
                <w:color w:val="000000"/>
                <w:rtl w:val="0"/>
              </w:rPr>
              <w:t xml:space="preserve">(результати навчання)</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Знати методи планування експериментів для отримання лінійної математичної моделі при визначенні контрольованих параметрів складних процесів.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Знати правила та підходи вибору контрольованих параметрів.</w:t>
            </w:r>
            <w:r w:rsidDel="00000000" w:rsidR="00000000" w:rsidRPr="00000000">
              <w:rPr>
                <w:rtl w:val="0"/>
              </w:rPr>
            </w:r>
          </w:p>
        </w:tc>
      </w:tr>
      <w:tr>
        <w:trPr>
          <w:cantSplit w:val="0"/>
          <w:trHeight w:val="722"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9">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Як можна користуватися набутими знаннями і уміннями</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i w:val="1"/>
                <w:color w:val="000000"/>
                <w:rtl w:val="0"/>
              </w:rPr>
              <w:t xml:space="preserve">(компетентності)</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Знати </w:t>
            </w:r>
            <w:r w:rsidDel="00000000" w:rsidR="00000000" w:rsidRPr="00000000">
              <w:rPr>
                <w:rFonts w:ascii="Times New Roman" w:cs="Times New Roman" w:eastAsia="Times New Roman" w:hAnsi="Times New Roman"/>
                <w:sz w:val="24"/>
                <w:szCs w:val="24"/>
                <w:rtl w:val="0"/>
              </w:rPr>
              <w:t xml:space="preserve">процедуру вибору кількості  та умов проведення дослідів, необхідних і достатніх для вирішення задачі досліджень із заданою точністю.</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Здатність розвивати і реалізовувати нові конкурентоспроможні ідеї в галузі інформаційних технологій.</w:t>
            </w:r>
          </w:p>
        </w:tc>
      </w:tr>
      <w:tr>
        <w:trPr>
          <w:cantSplit w:val="0"/>
          <w:trHeight w:val="347"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C">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Інформаційне забезпечення</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Конспект лекцій, презентації лекцій, методичні рекомендації до виконання лабораторних робіт. </w:t>
            </w:r>
          </w:p>
          <w:p w:rsidR="00000000" w:rsidDel="00000000" w:rsidP="00000000" w:rsidRDefault="00000000" w:rsidRPr="00000000" w14:paraId="0000001E">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Використання мультимедійного обладнання.</w:t>
            </w:r>
          </w:p>
        </w:tc>
      </w:tr>
      <w:tr>
        <w:trPr>
          <w:cantSplit w:val="0"/>
          <w:trHeight w:val="722"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F">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Види навчальних занять </w:t>
            </w:r>
          </w:p>
          <w:p w:rsidR="00000000" w:rsidDel="00000000" w:rsidP="00000000" w:rsidRDefault="00000000" w:rsidRPr="00000000" w14:paraId="00000020">
            <w:pPr>
              <w:spacing w:after="0" w:line="24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(лекції, практичні, семінарські, лабораторні заняття тощо)</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Лекції, практичні/лабораторні заняття</w:t>
            </w:r>
          </w:p>
        </w:tc>
      </w:tr>
      <w:tr>
        <w:trPr>
          <w:cantSplit w:val="0"/>
          <w:trHeight w:val="557"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2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Вид семестрового контролю</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Диференційований залік</w:t>
            </w:r>
          </w:p>
        </w:tc>
      </w:tr>
      <w:tr>
        <w:trPr>
          <w:cantSplit w:val="0"/>
          <w:trHeight w:val="426"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24">
            <w:pPr>
              <w:spacing w:after="0" w:line="240" w:lineRule="auto"/>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Максимальна кількість здобувачів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5">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90</w:t>
            </w:r>
          </w:p>
        </w:tc>
      </w:tr>
      <w:tr>
        <w:trPr>
          <w:cantSplit w:val="0"/>
          <w:trHeight w:val="480"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26">
            <w:pPr>
              <w:spacing w:after="0" w:line="240" w:lineRule="auto"/>
              <w:rPr>
                <w:rFonts w:ascii="Times New Roman" w:cs="Times New Roman" w:eastAsia="Times New Roman" w:hAnsi="Times New Roman"/>
                <w:i w:val="1"/>
                <w:color w:val="0000ff"/>
                <w:sz w:val="26"/>
                <w:szCs w:val="26"/>
              </w:rPr>
            </w:pPr>
            <w:r w:rsidDel="00000000" w:rsidR="00000000" w:rsidRPr="00000000">
              <w:rPr>
                <w:rFonts w:ascii="Times New Roman" w:cs="Times New Roman" w:eastAsia="Times New Roman" w:hAnsi="Times New Roman"/>
                <w:sz w:val="26"/>
                <w:szCs w:val="26"/>
                <w:rtl w:val="0"/>
              </w:rPr>
              <w:t xml:space="preserve">Мінімальна кількість здобувачів </w:t>
            </w:r>
            <w:r w:rsidDel="00000000" w:rsidR="00000000" w:rsidRPr="00000000">
              <w:rPr>
                <w:rFonts w:ascii="Times New Roman" w:cs="Times New Roman" w:eastAsia="Times New Roman" w:hAnsi="Times New Roman"/>
                <w:i w:val="1"/>
                <w:rtl w:val="0"/>
              </w:rPr>
              <w:t xml:space="preserve">(тільки для мовних та творчих дисциплін)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7">
            <w:pPr>
              <w:spacing w:after="0" w:line="240" w:lineRule="auto"/>
              <w:rPr>
                <w:rFonts w:ascii="Times New Roman" w:cs="Times New Roman" w:eastAsia="Times New Roman" w:hAnsi="Times New Roman"/>
                <w:sz w:val="26"/>
                <w:szCs w:val="26"/>
              </w:rPr>
            </w:pPr>
            <w:bookmarkStart w:colFirst="0" w:colLast="0" w:name="_heading=h.gjdgxs" w:id="0"/>
            <w:bookmarkEnd w:id="0"/>
            <w:r w:rsidDel="00000000" w:rsidR="00000000" w:rsidRPr="00000000">
              <w:rPr>
                <w:rFonts w:ascii="Times New Roman" w:cs="Times New Roman" w:eastAsia="Times New Roman" w:hAnsi="Times New Roman"/>
                <w:sz w:val="26"/>
                <w:szCs w:val="26"/>
                <w:rtl w:val="0"/>
              </w:rPr>
              <w:t xml:space="preserve">12</w:t>
            </w:r>
            <w:r w:rsidDel="00000000" w:rsidR="00000000" w:rsidRPr="00000000">
              <w:rPr>
                <w:rtl w:val="0"/>
              </w:rPr>
            </w:r>
          </w:p>
        </w:tc>
      </w:tr>
    </w:tbl>
    <w:p w:rsidR="00000000" w:rsidDel="00000000" w:rsidP="00000000" w:rsidRDefault="00000000" w:rsidRPr="00000000" w14:paraId="00000028">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Декан факультету             _____________</w:t>
        <w:tab/>
        <w:tab/>
        <w:t xml:space="preserve">Олена КІСЕЛЬОВА</w:t>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7A2BD8"/>
    <w:rPr>
      <w:rFonts w:ascii="Calibri" w:cs="Times New Roman" w:eastAsia="Calibri" w:hAnsi="Calibri"/>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Default" w:customStyle="1">
    <w:name w:val="Default"/>
    <w:rsid w:val="00D338A4"/>
    <w:pPr>
      <w:autoSpaceDE w:val="0"/>
      <w:autoSpaceDN w:val="0"/>
      <w:adjustRightInd w:val="0"/>
      <w:spacing w:after="0" w:line="240" w:lineRule="auto"/>
    </w:pPr>
    <w:rPr>
      <w:rFonts w:ascii="Calibri" w:cs="Calibri" w:eastAsia="Times New Roman" w:hAnsi="Calibri"/>
      <w:color w:val="000000"/>
      <w:sz w:val="24"/>
      <w:szCs w:val="24"/>
      <w:lang w:eastAsia="ru-RU" w:val="ru-RU"/>
    </w:rPr>
  </w:style>
  <w:style w:type="paragraph" w:styleId="a3">
    <w:name w:val="List Paragraph"/>
    <w:basedOn w:val="a"/>
    <w:uiPriority w:val="34"/>
    <w:qFormat w:val="1"/>
    <w:rsid w:val="00623334"/>
    <w:pPr>
      <w:ind w:left="720"/>
      <w:contextualSpacing w:val="1"/>
    </w:pPr>
  </w:style>
  <w:style w:type="paragraph" w:styleId="a4">
    <w:name w:val="Plain Text"/>
    <w:basedOn w:val="a"/>
    <w:link w:val="a5"/>
    <w:uiPriority w:val="99"/>
    <w:rsid w:val="00BF4F73"/>
    <w:pPr>
      <w:spacing w:after="0" w:line="240" w:lineRule="auto"/>
    </w:pPr>
    <w:rPr>
      <w:rFonts w:ascii="Courier New" w:eastAsia="Times New Roman" w:hAnsi="Courier New"/>
      <w:sz w:val="20"/>
      <w:szCs w:val="20"/>
      <w:lang w:eastAsia="ru-RU"/>
    </w:rPr>
  </w:style>
  <w:style w:type="character" w:styleId="a5" w:customStyle="1">
    <w:name w:val="Текст Знак"/>
    <w:basedOn w:val="a0"/>
    <w:link w:val="a4"/>
    <w:uiPriority w:val="99"/>
    <w:rsid w:val="00BF4F73"/>
    <w:rPr>
      <w:rFonts w:ascii="Courier New" w:cs="Times New Roman" w:eastAsia="Times New Roman" w:hAnsi="Courier New"/>
      <w:sz w:val="20"/>
      <w:szCs w:val="20"/>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hpwZU3xl916EVrua9GyjSafwkA==">CgMxLjAyCGguZ2pkZ3hzOAByITFUYVlHYXZJZ0NDVVRFMXNaWWFnZjNFTHdLcW5IU2N0YQ==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2020-09-10T06:24:00Z</dcterms:created>
  <dc:creator>Liliia</dc:creator>
</cp:coreProperties>
</file>