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716.0" w:type="dxa"/>
        <w:tblLayout w:type="fixed"/>
        <w:tblLook w:val="0400"/>
      </w:tblPr>
      <w:tblGrid>
        <w:gridCol w:w="3765"/>
        <w:gridCol w:w="6900"/>
        <w:tblGridChange w:id="0">
          <w:tblGrid>
            <w:gridCol w:w="3765"/>
            <w:gridCol w:w="6900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2-126-02_Багатовимірні моделі даних_I_2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.92578124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другий 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356.9531249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Пререквізити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Навички роботи з базами даних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Концептуальна модель організації даних. Реляційна і багатовимірна моделі. Структура моделі даних. Варіанти організації. Тривимірна модель даних. Гіперкубічна модель. Полікубічна модель. Операції над даними: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зріз, згортка, деталізація, обертання. Переваги та недоліки багатовимірної моделі.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Кодда ідентифікації додатків багатовимірного аналізу. Тест FASMI (Fast Analysis Of Shared Multidimensional Information). OLAP-технологія оперативної аналітичної обробки інформації.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Концепція сховища даних. Процес консолідації.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вирішення проблем значної тривалості процедури формування аналітичної звітності, відсутності системного підходу до аналізу даних  та неможливості оперативного застосування в повному масштабі результатів аналізу на всіх рівнях управління - стало використання багатовимірних моделей.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Знати і системно застосовувати підходи багатовимірного логічного подання структури інформації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описі і в операціях з даними.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Аналізувати, оцінювати і вибирати методи, сучасні програмно-апаратні інструментальні та обчислювальні засоби, технології, алгоритмічні та програмні рішення для ефективного виконання конкретних виробничих задач з галузі інформаційних технологій.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підтримувати багатовимірну модель даних на концептуальному рівні.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Мати навички аналітичного опрацювання аґреґованих і проґнозованих даних.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Здатність аналізувати предметні області, формувати, аналізувати та моделювати вимоги до програмного забезпечення.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Здатність розвивати і реалізовувати нові конкурентоспроможні ідеї в інженерії програмного забезпечення.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Лекції. Практичні/лабораторні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d7g9rG1C5qrcLl/+89aO7M1yA==">CgMxLjA4AHIhMWpneks4a19TWDFYaEhRV21aRnBaczdpeUt6MlA2UUVU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