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1.0" w:type="dxa"/>
        <w:jc w:val="left"/>
        <w:tblInd w:w="-716.0" w:type="dxa"/>
        <w:tblLayout w:type="fixed"/>
        <w:tblLook w:val="0400"/>
      </w:tblPr>
      <w:tblGrid>
        <w:gridCol w:w="4411"/>
        <w:gridCol w:w="6260"/>
        <w:tblGridChange w:id="0">
          <w:tblGrid>
            <w:gridCol w:w="4411"/>
            <w:gridCol w:w="6260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2-121-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08_Ймовірнісне тематичне моделювання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Математичного забезпечення ЕОМ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ругий (магістерський)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країнська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Володіння основами інженерії програмного забезпечення 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тематичного моделювання та алгоритми її розв’язання. Сфери застосування тематичного моделювання. EM алгоритм і його застосування в тематичному моделюванні. Латентно-семантичний аналіз (L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atent Semantic Analysis, LSA).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Модель латентного розміщення Діріхлє (Latent Dirichlet Allocation, LDA).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Тематичне моделювання дозволяє виявляти приховані тематики у великих корпусах тексту.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 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ематичного моделювання може допомогти інженерам створити більш ефективні системи пошуку, видобування інформації, персоналізованих рекомендацій. Тематичне моделювання є актуальним в процесі розроблення систем штучного інтелекту та інноваційних продуктів, орієнтованих на опрацювання тексту та аналіз контенту.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Знати і вміти використовувати на практиці сучасні алгоритми тематичного моделювання.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Обґрунтовано обирати і застосовувати засоби інженерії програмного забезпечення для проведення тематичного моделювання і побудови систем штучного інтелекту на його основі.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386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розвивати і реалізовувати нові конкурентоспроможні ідеї в інженерії програмного забезпечення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Презентації лекцій, рекомендована література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Лекції,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абораторні заняття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G0B2gHOwWpgQcOPmp8poqOS3w==">CgMxLjAyCGguZ2pkZ3hzOAByITFTRDRYMWZxVDdwOFdZZDVTazA1M1k2eXpBdjdtZUhVcA==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