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65.0" w:type="dxa"/>
        <w:jc w:val="left"/>
        <w:tblInd w:w="-716.0" w:type="dxa"/>
        <w:tblLayout w:type="fixed"/>
        <w:tblLook w:val="0400"/>
      </w:tblPr>
      <w:tblGrid>
        <w:gridCol w:w="4290"/>
        <w:gridCol w:w="6375"/>
        <w:tblGridChange w:id="0">
          <w:tblGrid>
            <w:gridCol w:w="4290"/>
            <w:gridCol w:w="6375"/>
          </w:tblGrid>
        </w:tblGridChange>
      </w:tblGrid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2-121-07_Алгоритми інтелектуального пошуку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12 Інформаційні технології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 Математичного забезпечення ЕОМ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 другий  (магістерський)</w:t>
            </w:r>
          </w:p>
        </w:tc>
      </w:tr>
      <w:tr>
        <w:trPr>
          <w:cantSplit w:val="0"/>
          <w:trHeight w:val="56.953124999999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 курс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 українська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Пререквізити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(передумови вивчення дисципліни)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Базові знання теорії графів, алгоритмів та структур даних.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Призначення та сфери застосування систем штучного інтелекту у програмних додатках. 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Способи подання завдання, алгоритми та методи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u w:val="single"/>
                <w:rtl w:val="0"/>
              </w:rPr>
              <w:t xml:space="preserve">пошуку рішень.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Підходи до подання задач у інтелектуальних системах. Характеристики стратегій та методів пошуку рішення задачі. Методи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u w:val="single"/>
                <w:rtl w:val="0"/>
              </w:rPr>
              <w:t xml:space="preserve">пошуку рішень у просторі станів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повний  перебір, перебір в «глибину», «ширину» на графі. Можливості використання оцінних функцій, оптимальних алгоритмів перебору та евристик при пошуку рішень. Методи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u w:val="single"/>
                <w:rtl w:val="0"/>
              </w:rPr>
              <w:t xml:space="preserve">пошуку рішень у просторі задач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: поняття «І-АБО» графів, дерев рішень, методи при зведенні задачі до сукупності підзадач. 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Запропоновані методи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та 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лгоритми є актуальними для подальшого використання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 інтелектуальному аналізі даних.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налізувати, оцінювати і вибирати методи, сучасні програмно-апаратні інструментальні та обчислювальні засоби, технології, алгоритмічні та програмні рішення для ефективного виконання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прикладних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 задач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Здатність розвивати і реалізовувати нові конкурентоспроможні ідеї в галузі інформаційних технологій.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Конспект лекцій, презентації лекцій, методичні рекомендації до виконання лабораторних робіт.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Використання мультимедійного обладнання.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Лекції, практичні/лабораторні заняття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Диференційований залік</w:t>
            </w:r>
          </w:p>
        </w:tc>
      </w:tr>
      <w:tr>
        <w:trPr>
          <w:cantSplit w:val="0"/>
          <w:trHeight w:val="268.94531249999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90</w:t>
            </w:r>
          </w:p>
        </w:tc>
      </w:tr>
      <w:tr>
        <w:trPr>
          <w:cantSplit w:val="0"/>
          <w:trHeight w:val="184.92187499999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A2BD8"/>
    <w:rPr>
      <w:rFonts w:ascii="Calibri" w:cs="Times New Roman" w:eastAsia="Calibri" w:hAnsi="Calibri"/>
      <w:lang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color w:val="000000"/>
      <w:sz w:val="24"/>
      <w:szCs w:val="24"/>
      <w:lang w:eastAsia="ru-RU" w:val="ru-RU"/>
    </w:rPr>
  </w:style>
  <w:style w:type="paragraph" w:styleId="a3">
    <w:name w:val="List Paragraph"/>
    <w:basedOn w:val="a"/>
    <w:uiPriority w:val="34"/>
    <w:qFormat w:val="1"/>
    <w:rsid w:val="00623334"/>
    <w:pPr>
      <w:ind w:left="720"/>
      <w:contextualSpacing w:val="1"/>
    </w:pPr>
  </w:style>
  <w:style w:type="paragraph" w:styleId="a4">
    <w:name w:val="Plain Text"/>
    <w:basedOn w:val="a"/>
    <w:link w:val="a5"/>
    <w:uiPriority w:val="99"/>
    <w:rsid w:val="00BF4F7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5" w:customStyle="1">
    <w:name w:val="Текст Знак"/>
    <w:basedOn w:val="a0"/>
    <w:link w:val="a4"/>
    <w:uiPriority w:val="99"/>
    <w:rsid w:val="00BF4F73"/>
    <w:rPr>
      <w:rFonts w:ascii="Courier New" w:cs="Times New Roman" w:eastAsia="Times New Roman" w:hAnsi="Courier New"/>
      <w:sz w:val="20"/>
      <w:szCs w:val="20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zkqRXg05BUnEdYIvNAXz7+LkTg==">CgMxLjAyCGguZ2pkZ3hzOAByITF4emY2cWtOZFNwUkRkRE5DcXEwcFBBSkhCSFROU1lrZQ==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2020-09-10T06:24:00Z</dcterms:created>
  <dc:creator>Liliia</dc:creator>
</cp:coreProperties>
</file>