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601.0" w:type="dxa"/>
        <w:tblLayout w:type="fixed"/>
        <w:tblLook w:val="0400"/>
      </w:tblPr>
      <w:tblGrid>
        <w:gridCol w:w="3970"/>
        <w:gridCol w:w="6662"/>
        <w:tblGridChange w:id="0">
          <w:tblGrid>
            <w:gridCol w:w="3970"/>
            <w:gridCol w:w="6662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1-126-07_Технології web-аналізу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курс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Знання та навички програмування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інтернет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976.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Комплексна аналітика (збирання та аналіз статистичних даних). Наскрізна аналітика (аналіз поведінки користувачів).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Методи web-аналізу.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Алгоритми web-аналізу. Інструменти web-аналізу. Сервіси наскрізної аналітики (Google Analytics, Open Web Analytics). Інструменти для аналізу SEO / конкурентного середовища. Інструменти для поглибленого аналізу.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допомогою технологій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web-аналізу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можна визначити цільову аудиторію та її особливості. Це дає можливість приймати конструктивні рішення щодо розвитку сайту, покращення контенту та оптимізації рекламних кампаній.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Знати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Здатність використовувати базові теоретичні основи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web-аналізу.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Мати навички роботи з технологіями 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92b"/>
                <w:sz w:val="28"/>
                <w:szCs w:val="28"/>
                <w:highlight w:val="white"/>
                <w:rtl w:val="0"/>
              </w:rPr>
              <w:t xml:space="preserve">інструментами web-аналізу.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щодо виконання лабораторних робіт.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PKTdB7qDvd7pqnwEHdiRYilrg==">CgMxLjAyCWlkLmdqZGd4czIIaC5namRneHM4AHIhMTFLOXVUbVQ0alhJYTFHM3M2X3ROZXViMEhjc0Jybl9N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