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9" w:type="pct"/>
        <w:tblInd w:w="-601" w:type="dxa"/>
        <w:tblLook w:val="04A0" w:firstRow="1" w:lastRow="0" w:firstColumn="1" w:lastColumn="0" w:noHBand="0" w:noVBand="1"/>
      </w:tblPr>
      <w:tblGrid>
        <w:gridCol w:w="4277"/>
        <w:gridCol w:w="6379"/>
      </w:tblGrid>
      <w:tr w:rsidR="000B7E27" w:rsidRPr="006D06D6" w:rsidTr="000544EC">
        <w:trPr>
          <w:trHeight w:val="281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3F0D1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544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B7E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1-126-</w:t>
            </w:r>
            <w:r w:rsidR="000544E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0B7E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1_</w:t>
            </w:r>
            <w:r w:rsidR="000544E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Вебпрограмування</w:t>
            </w:r>
            <w:r w:rsidRPr="000B7E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_II</w:t>
            </w:r>
          </w:p>
        </w:tc>
      </w:tr>
      <w:tr w:rsidR="000B7E27" w:rsidRPr="006D06D6" w:rsidTr="000544EC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Default="000B7E27" w:rsidP="000B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технології</w:t>
            </w:r>
            <w:proofErr w:type="spellEnd"/>
          </w:p>
          <w:p w:rsidR="000B7E27" w:rsidRDefault="000B7E27" w:rsidP="000B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технології</w:t>
            </w:r>
            <w:proofErr w:type="spellEnd"/>
          </w:p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Математика та статистика</w:t>
            </w:r>
          </w:p>
        </w:tc>
      </w:tr>
      <w:tr w:rsidR="000B7E27" w:rsidRPr="006D06D6" w:rsidTr="000544EC">
        <w:trPr>
          <w:trHeight w:val="28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0B7E27" w:rsidRPr="006D06D6" w:rsidTr="000544EC">
        <w:trPr>
          <w:trHeight w:val="27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54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0B7E27" w:rsidRPr="006D06D6" w:rsidTr="000544EC">
        <w:trPr>
          <w:trHeight w:val="12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0B7E27" w:rsidRPr="006D06D6" w:rsidTr="000544EC">
        <w:trPr>
          <w:trHeight w:val="152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2</w:t>
            </w:r>
          </w:p>
        </w:tc>
      </w:tr>
      <w:tr w:rsidR="000B7E27" w:rsidRPr="006D06D6" w:rsidTr="000544EC">
        <w:trPr>
          <w:trHeight w:val="27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0B7E27" w:rsidRPr="006D06D6" w:rsidTr="000544EC">
        <w:trPr>
          <w:trHeight w:val="363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Основи програмування,</w:t>
            </w:r>
          </w:p>
          <w:p w:rsidR="000B7E27" w:rsidRPr="00A7176F" w:rsidRDefault="000B7E27" w:rsidP="000B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Основи програмної інженерії</w:t>
            </w:r>
          </w:p>
        </w:tc>
      </w:tr>
      <w:tr w:rsidR="000B7E27" w:rsidRPr="000B7E27" w:rsidTr="000544EC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pStyle w:val="Default"/>
              <w:ind w:left="99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7176F">
              <w:rPr>
                <w:rFonts w:ascii="Times New Roman" w:hAnsi="Times New Roman" w:cs="Times New Roman"/>
                <w:lang w:val="uk-UA"/>
              </w:rPr>
              <w:t xml:space="preserve">Основи розробки проектів </w:t>
            </w:r>
            <w:proofErr w:type="spellStart"/>
            <w:r w:rsidRPr="00A7176F">
              <w:rPr>
                <w:rFonts w:ascii="Times New Roman" w:hAnsi="Times New Roman" w:cs="Times New Roman"/>
                <w:lang w:val="uk-UA"/>
              </w:rPr>
              <w:t>Web</w:t>
            </w:r>
            <w:proofErr w:type="spellEnd"/>
            <w:r w:rsidRPr="00A7176F">
              <w:rPr>
                <w:rFonts w:ascii="Times New Roman" w:hAnsi="Times New Roman" w:cs="Times New Roman"/>
                <w:lang w:val="uk-UA"/>
              </w:rPr>
              <w:t>-дизайну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0B7E27" w:rsidRPr="00A7176F" w:rsidRDefault="000B7E27" w:rsidP="000B7E27">
            <w:pPr>
              <w:pStyle w:val="Default"/>
              <w:ind w:left="99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7176F">
              <w:rPr>
                <w:rFonts w:ascii="Times New Roman" w:eastAsia="Times-Roman" w:hAnsi="Times New Roman" w:cs="Times New Roman"/>
                <w:lang w:val="uk-UA"/>
              </w:rPr>
              <w:t xml:space="preserve">Адаптивний дизайн. </w:t>
            </w:r>
            <w:r w:rsidRPr="00A7176F">
              <w:rPr>
                <w:rFonts w:ascii="Times New Roman" w:hAnsi="Times New Roman" w:cs="Times New Roman"/>
                <w:lang w:val="uk-UA"/>
              </w:rPr>
              <w:t>Статичні та динамічні сайти</w:t>
            </w:r>
          </w:p>
          <w:p w:rsidR="000B7E27" w:rsidRPr="00A7176F" w:rsidRDefault="000B7E27" w:rsidP="000B7E27">
            <w:pPr>
              <w:pStyle w:val="Default"/>
              <w:ind w:left="99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7176F"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 w:rsidRPr="00A7176F">
              <w:rPr>
                <w:rFonts w:ascii="Times New Roman" w:hAnsi="Times New Roman" w:cs="Times New Roman"/>
                <w:lang w:val="uk-UA"/>
              </w:rPr>
              <w:t>frontend</w:t>
            </w:r>
            <w:proofErr w:type="spellEnd"/>
            <w:r w:rsidRPr="00A7176F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A7176F">
              <w:rPr>
                <w:rFonts w:ascii="Times New Roman" w:hAnsi="Times New Roman" w:cs="Times New Roman"/>
                <w:lang w:val="uk-UA"/>
              </w:rPr>
              <w:t>backend</w:t>
            </w:r>
            <w:proofErr w:type="spellEnd"/>
            <w:r w:rsidRPr="00A7176F">
              <w:rPr>
                <w:rFonts w:ascii="Times New Roman" w:hAnsi="Times New Roman" w:cs="Times New Roman"/>
                <w:lang w:val="uk-UA"/>
              </w:rPr>
              <w:t xml:space="preserve"> розробки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 w:rsidRPr="00A7176F">
              <w:rPr>
                <w:rFonts w:ascii="Times New Roman" w:hAnsi="Times New Roman" w:cs="Times New Roman"/>
                <w:lang w:val="uk-UA"/>
              </w:rPr>
              <w:t>JavaScript</w:t>
            </w:r>
            <w:proofErr w:type="spellEnd"/>
            <w:r w:rsidRPr="00A7176F">
              <w:rPr>
                <w:rFonts w:ascii="Times New Roman" w:hAnsi="Times New Roman" w:cs="Times New Roman"/>
                <w:lang w:val="uk-UA"/>
              </w:rPr>
              <w:t>. Створення сценаріїв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Модель візуального форматування.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val="uk-UA"/>
              </w:rPr>
              <w:t>Загальні положення та методи внутрішньої та зовнішньої оптимізації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Види пошукових запитів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Методи оптимізації контенту ресурсу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Основні методи просування сайту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Фактори ранжування пошукових систем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Основні етапи SEO-аналізу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7176F">
              <w:rPr>
                <w:rFonts w:ascii="Times New Roman" w:hAnsi="Times New Roman" w:cs="Times New Roman"/>
                <w:lang w:val="uk-UA"/>
              </w:rPr>
              <w:t>Особливості регіонального просування</w:t>
            </w:r>
          </w:p>
        </w:tc>
      </w:tr>
      <w:tr w:rsidR="000B7E27" w:rsidRPr="00687176" w:rsidTr="000544EC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pStyle w:val="Default"/>
              <w:ind w:left="33" w:firstLine="66"/>
              <w:jc w:val="both"/>
              <w:rPr>
                <w:rFonts w:ascii="Times New Roman" w:hAnsi="Times New Roman" w:cs="Times New Roman"/>
                <w:lang w:val="uk-UA"/>
              </w:rPr>
            </w:pPr>
            <w:r w:rsidRPr="00A7176F">
              <w:rPr>
                <w:rFonts w:ascii="Times New Roman" w:hAnsi="Times New Roman" w:cs="Times New Roman"/>
                <w:lang w:val="uk-UA"/>
              </w:rPr>
              <w:t> В результаті вивчення дисципліни фахівець зможе ефективно застосовувати: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val="uk-UA"/>
              </w:rPr>
              <w:t>сучасні правила побудови web-сторінок комп'ютерних мереж;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val="uk-UA"/>
              </w:rPr>
              <w:t>методи проектування web-сайтів з використанням прогресивних технологій;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val="uk-UA"/>
              </w:rPr>
              <w:t>принципи безпеки та таємності даних в локальних та глобальних мережах.</w:t>
            </w:r>
          </w:p>
        </w:tc>
      </w:tr>
      <w:tr w:rsidR="000B7E27" w:rsidRPr="006D06D6" w:rsidTr="000544EC">
        <w:trPr>
          <w:trHeight w:val="2463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Default="000B7E27" w:rsidP="000B7E27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33" w:hanging="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Уміння вибирати та використовувати відповідну задачі методологію створення програмного забезпечення. </w:t>
            </w:r>
          </w:p>
          <w:p w:rsidR="000B7E27" w:rsidRDefault="000B7E27" w:rsidP="000B7E27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33" w:hanging="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Знати і застосовувати на практиці фундаментальні концепції, парадигми і основні принципи функціонування мовних, інструментальних і обчислювальних засобів інженерії програмного забезпечення.</w:t>
            </w:r>
          </w:p>
          <w:p w:rsidR="000B7E27" w:rsidRDefault="000B7E27" w:rsidP="000B7E27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33" w:hanging="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Мотивовано обирати мови програмування та технології розробки для розв’язання завдань створення і супроводження програмного забезпечення.</w:t>
            </w:r>
          </w:p>
          <w:p w:rsidR="000B7E27" w:rsidRPr="00A7176F" w:rsidRDefault="000B7E27" w:rsidP="000B7E27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33" w:hanging="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Знати та вміти застосовувати методи та засоби управління проектами.</w:t>
            </w:r>
          </w:p>
        </w:tc>
      </w:tr>
      <w:tr w:rsidR="000B7E27" w:rsidRPr="006D06D6" w:rsidTr="000544EC">
        <w:trPr>
          <w:trHeight w:val="857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33" w:hanging="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sz w:val="24"/>
                <w:szCs w:val="24"/>
                <w:lang w:val="uk-UA"/>
              </w:rPr>
              <w:t> Здатність реалізовувати фази та ітерації життєвого циклу програмних систем та інформаційних технологій на основі відповідних моделей і підходів розробки програмного забезпечення.</w:t>
            </w:r>
          </w:p>
        </w:tc>
      </w:tr>
      <w:tr w:rsidR="000B7E27" w:rsidRPr="006D06D6" w:rsidTr="000544EC">
        <w:trPr>
          <w:trHeight w:val="12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0B7E27" w:rsidRPr="006D06D6" w:rsidTr="000544EC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0B7E27" w:rsidRPr="000B7E27" w:rsidTr="000544EC">
        <w:trPr>
          <w:trHeight w:val="152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="000544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717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0B7E27" w:rsidRPr="000B7E27" w:rsidTr="000544EC">
        <w:trPr>
          <w:trHeight w:val="152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7E27" w:rsidRPr="00A37CC9" w:rsidRDefault="000B7E27" w:rsidP="000B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687176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  <w:bookmarkStart w:id="0" w:name="_GoBack"/>
            <w:bookmarkEnd w:id="0"/>
          </w:p>
        </w:tc>
      </w:tr>
      <w:tr w:rsidR="000B7E27" w:rsidRPr="000B7E27" w:rsidTr="000544EC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7E27" w:rsidRPr="007F745A" w:rsidRDefault="000B7E27" w:rsidP="000B7E27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E27" w:rsidRPr="00A7176F" w:rsidRDefault="000B7E27" w:rsidP="000B7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0544EC" w:rsidRDefault="000544EC" w:rsidP="000544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2BD8" w:rsidRPr="000544EC" w:rsidRDefault="000544EC" w:rsidP="000544EC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7A2BD8" w:rsidRPr="000544EC" w:rsidSect="000478D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BE1"/>
    <w:multiLevelType w:val="hybridMultilevel"/>
    <w:tmpl w:val="064CE2E4"/>
    <w:lvl w:ilvl="0" w:tplc="B90EC92A">
      <w:start w:val="8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518"/>
    <w:multiLevelType w:val="hybridMultilevel"/>
    <w:tmpl w:val="A20C58B4"/>
    <w:lvl w:ilvl="0" w:tplc="C9DA3F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E11AA"/>
    <w:multiLevelType w:val="hybridMultilevel"/>
    <w:tmpl w:val="C882A26A"/>
    <w:lvl w:ilvl="0" w:tplc="FBE084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8"/>
    <w:rsid w:val="000478D7"/>
    <w:rsid w:val="000544EC"/>
    <w:rsid w:val="00091298"/>
    <w:rsid w:val="000B7E27"/>
    <w:rsid w:val="000D2D09"/>
    <w:rsid w:val="0016614F"/>
    <w:rsid w:val="0016741D"/>
    <w:rsid w:val="00380F8F"/>
    <w:rsid w:val="003F4CB8"/>
    <w:rsid w:val="00687176"/>
    <w:rsid w:val="006D06D6"/>
    <w:rsid w:val="00766187"/>
    <w:rsid w:val="007A2BD8"/>
    <w:rsid w:val="007C59EC"/>
    <w:rsid w:val="00825F8A"/>
    <w:rsid w:val="008B2395"/>
    <w:rsid w:val="008D4084"/>
    <w:rsid w:val="009056D3"/>
    <w:rsid w:val="00964988"/>
    <w:rsid w:val="00A7176F"/>
    <w:rsid w:val="00CB175D"/>
    <w:rsid w:val="00D338A4"/>
    <w:rsid w:val="00D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8FB"/>
  <w15:docId w15:val="{9F391835-6A57-4FE4-9EC6-F315F2C8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6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6614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A7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4</cp:revision>
  <dcterms:created xsi:type="dcterms:W3CDTF">2020-09-06T18:16:00Z</dcterms:created>
  <dcterms:modified xsi:type="dcterms:W3CDTF">2023-06-06T21:27:00Z</dcterms:modified>
</cp:coreProperties>
</file>