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4.0" w:type="dxa"/>
        <w:jc w:val="left"/>
        <w:tblInd w:w="-436.0" w:type="dxa"/>
        <w:tblLayout w:type="fixed"/>
        <w:tblLook w:val="0400"/>
      </w:tblPr>
      <w:tblGrid>
        <w:gridCol w:w="4537"/>
        <w:gridCol w:w="6317"/>
        <w:tblGridChange w:id="0">
          <w:tblGrid>
            <w:gridCol w:w="4537"/>
            <w:gridCol w:w="63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1-1-121-11_Професійні стандарти в галузі інформаційних технологій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курс, 4 семестр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курс, 6 семестр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Базові знання з інформатики 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Професійні стандарти фахівця: фахівець з інформаційних систем; фахівець з розроблення програмного забезпечення; керівник проектів з інформаційних технологій; менеджер продуктів у сфері інформаційних технологій; фахівець з інформаційних ресурсів. Область професійної діяльності (функціональна область).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Узагальнені трудові функції. Трудова дія. Кваліфікація працівника. Базові знання фахівця. рівень кваліфікації.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Міжнародні стандарти ISO. Об’єкти вивчення та діяльності ІПЗ.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Приділена увага стандарту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ISO/IEC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12207:2016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Інженерія систем і програмного забезпечення. Процеси життєвого циклу програмного забезпечення”.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Приділена увага всьому спектру процесів, які ведуть до створення програмного забезпечення: розробка системних вимог, проєктування, тестування, управління персоналом та якістю, модернізація та реінжиніринг програмних систем, управління конфігураціями.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1.Знати професійні стандарти в галузі інформаційних технологій.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Знати області професійної діяльності, узагальнені трудові функції, трудові дії.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Знати вимоги щодо кваліфікації працівника.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Знати міжнародні стандарти в галузі інформаційних технологій.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Вміти відокремлювати об’єкти вивчення та діяльності.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ffffff"/>
                <w:sz w:val="20"/>
                <w:szCs w:val="20"/>
                <w:shd w:fill="04547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Мати розуміння щодо класифікації процесів створення програмного забезпечення  та  управління проєктами.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Здатність застосовувати професійні стандарти в галузі інформаційних технологій.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Здатність створювати вимоги щодо кваліфікації працівника та планувати процеси життєвого циклу програмного забезпечення..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Здатність до пошуку, оброблення та аналізу інформації з різних джерел.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мультимедійного обладнання.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практичні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XC9qDOWlATTGa7AkTPFehcIlQ==">CgMxLjAyCGguZ2pkZ3hzMgloLjMwajB6bGw4AHIhMUdUUl9jRE5iSlhhZDVEemtKY2EwZldEbFpRcGtlb2to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