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4.0" w:type="dxa"/>
        <w:jc w:val="left"/>
        <w:tblInd w:w="-436.0" w:type="dxa"/>
        <w:tblLayout w:type="fixed"/>
        <w:tblLook w:val="0400"/>
      </w:tblPr>
      <w:tblGrid>
        <w:gridCol w:w="4537"/>
        <w:gridCol w:w="6317"/>
        <w:tblGridChange w:id="0">
          <w:tblGrid>
            <w:gridCol w:w="4537"/>
            <w:gridCol w:w="63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1-121-10_Користувацькі інтерфейси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36.972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 та навички програмування, проєктування вимог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Стилі інтерфейсу. Якість інтерфейсу. Стандарти та принции проєктування ергономічного інтерфейсу застосувань.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Різновиди користувацького інтерфейсу: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інтерфейс, оснований на меню; адаптивний інтерфейс; інтерфейс з застосуванням природної мови; інтерфейс з графічними засобами діалогу із системою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досвіду користувача (UX design - розроблення взаємодії з користувачем).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інтерфейсу користувача (UI design - розроблення користувальницького інтерфейсу).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Інформаційна архітектура (Information Architecture). Етапи проектування користувацького інтерфейсу.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Програмне забезпечення для розроблення інтерфейсу - за вибором (наприклад, Figma).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Метою створення інтерфейсу користувача є розроблення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інтерфейсу, який спрощує взаємодію з користувачем для керування/управління машиною щодо забезпечення бажаного результату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основні принципи дизайну інтерактивних систем.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концептуальні моделі та шаблони інтерфейсу користувача.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використовувати теоретичні основи побудови взаємодії людини та машини в інтерактивних системах.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Вміти будувати та оцінювати інтерфейси програмного забезпечення.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Мати навички побудови інтерфейсу довідкових систем.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практичних робіт. Використання мультимедійного обладнання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практичні/лабораторні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oIbaywoC9v7yP3t/9cwrZBmcg==">CgMxLjAyCGguZ2pkZ3hzOAByITF6TG0wdFk2ZDZGT3NLTzUzNWJ2WVNLc0s0bWJYdHo4WQ==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