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99B7" w14:textId="77777777" w:rsidR="000622B8" w:rsidRPr="007F08D2" w:rsidRDefault="000622B8" w:rsidP="00B843D0">
      <w:pPr>
        <w:autoSpaceDE w:val="0"/>
        <w:autoSpaceDN w:val="0"/>
        <w:adjustRightInd w:val="0"/>
        <w:ind w:right="-1049"/>
        <w:rPr>
          <w:sz w:val="4"/>
          <w:szCs w:val="4"/>
        </w:rPr>
      </w:pPr>
    </w:p>
    <w:tbl>
      <w:tblPr>
        <w:tblW w:w="0" w:type="auto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5898"/>
      </w:tblGrid>
      <w:tr w:rsidR="00927642" w:rsidRPr="00693DD2" w14:paraId="24F2DEE1" w14:textId="77777777" w:rsidTr="00C674C5"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A90553E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Назва дисципліни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F6947C4" w14:textId="557D5152" w:rsidR="00927642" w:rsidRPr="00693DD2" w:rsidRDefault="00927642" w:rsidP="00AB2595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693DD2">
              <w:rPr>
                <w:b/>
                <w:bCs/>
                <w:sz w:val="28"/>
                <w:szCs w:val="28"/>
              </w:rPr>
              <w:t xml:space="preserve">1-113-2-08 Методи технічного </w:t>
            </w:r>
            <w:proofErr w:type="spellStart"/>
            <w:r w:rsidRPr="00693DD2">
              <w:rPr>
                <w:b/>
                <w:bCs/>
                <w:sz w:val="28"/>
                <w:szCs w:val="28"/>
              </w:rPr>
              <w:t>аналізу</w:t>
            </w:r>
            <w:r w:rsidR="007F08D2">
              <w:rPr>
                <w:b/>
                <w:bCs/>
                <w:sz w:val="28"/>
                <w:szCs w:val="28"/>
              </w:rPr>
              <w:t>_ІІ</w:t>
            </w:r>
            <w:proofErr w:type="spellEnd"/>
          </w:p>
        </w:tc>
      </w:tr>
      <w:tr w:rsidR="00927642" w:rsidRPr="00693DD2" w14:paraId="4DA72598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45D2BD1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Рекомендується для галузі знань </w:t>
            </w:r>
          </w:p>
          <w:p w14:paraId="5566AEBE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7F08D2">
              <w:rPr>
                <w:i/>
                <w:sz w:val="20"/>
                <w:szCs w:val="20"/>
              </w:rPr>
              <w:t>(спеціальності, освітньої програми)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899C1A8" w14:textId="7A51A945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11 Математика та статистика </w:t>
            </w:r>
          </w:p>
        </w:tc>
      </w:tr>
      <w:tr w:rsidR="00927642" w:rsidRPr="00693DD2" w14:paraId="3F1F5B9F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05A10B6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Кафедра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A3FDD73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Комп'ютерних технологій</w:t>
            </w:r>
          </w:p>
        </w:tc>
      </w:tr>
      <w:tr w:rsidR="00927642" w:rsidRPr="00693DD2" w14:paraId="7402FC93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10AAA3F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П.І.П. НПП </w:t>
            </w:r>
            <w:r w:rsidRPr="007F08D2">
              <w:rPr>
                <w:i/>
                <w:sz w:val="20"/>
                <w:szCs w:val="20"/>
              </w:rPr>
              <w:t>(за можливості)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131F14E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д.ф.-</w:t>
            </w:r>
            <w:proofErr w:type="spellStart"/>
            <w:r w:rsidRPr="00693DD2">
              <w:rPr>
                <w:sz w:val="28"/>
                <w:szCs w:val="28"/>
              </w:rPr>
              <w:t>м.н</w:t>
            </w:r>
            <w:proofErr w:type="spellEnd"/>
            <w:r w:rsidRPr="00693DD2">
              <w:rPr>
                <w:sz w:val="28"/>
                <w:szCs w:val="28"/>
              </w:rPr>
              <w:t>. Гук Н.А.</w:t>
            </w:r>
          </w:p>
        </w:tc>
      </w:tr>
      <w:tr w:rsidR="00927642" w:rsidRPr="00693DD2" w14:paraId="29592B74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1A078EF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Рівень ВО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44C2CA2" w14:textId="2A462A9F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І (бакалаврський) </w:t>
            </w:r>
          </w:p>
        </w:tc>
      </w:tr>
      <w:tr w:rsidR="00927642" w:rsidRPr="00693DD2" w14:paraId="3EF1CB01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CE4CA7E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Курс, семестр </w:t>
            </w:r>
            <w:r w:rsidRPr="007F08D2">
              <w:rPr>
                <w:i/>
                <w:sz w:val="20"/>
                <w:szCs w:val="20"/>
              </w:rPr>
              <w:t>(в якому буде викладатись)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0393D4E" w14:textId="5AA29F5F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2 курс 3, 4 семестр</w:t>
            </w:r>
          </w:p>
        </w:tc>
      </w:tr>
      <w:tr w:rsidR="00927642" w:rsidRPr="00693DD2" w14:paraId="47C383F5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D05ADE4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Мова викладання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DECFD70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українська </w:t>
            </w:r>
          </w:p>
        </w:tc>
      </w:tr>
      <w:tr w:rsidR="00927642" w:rsidRPr="00693DD2" w14:paraId="7444DF6F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2AA38C7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693DD2">
              <w:rPr>
                <w:sz w:val="28"/>
                <w:szCs w:val="28"/>
              </w:rPr>
              <w:t>Пререквізити</w:t>
            </w:r>
            <w:proofErr w:type="spellEnd"/>
            <w:r w:rsidRPr="00693DD2">
              <w:rPr>
                <w:sz w:val="28"/>
                <w:szCs w:val="28"/>
              </w:rPr>
              <w:t xml:space="preserve"> </w:t>
            </w:r>
            <w:r w:rsidRPr="007F08D2">
              <w:rPr>
                <w:i/>
                <w:sz w:val="20"/>
                <w:szCs w:val="20"/>
              </w:rPr>
              <w:t xml:space="preserve">(передумови вивчення дисципліни) </w:t>
            </w:r>
            <w:r w:rsidRPr="007F08D2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30790A5" w14:textId="447300B8" w:rsidR="00927642" w:rsidRPr="00693DD2" w:rsidRDefault="00927642" w:rsidP="007F0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базові знання з математики та інформатики</w:t>
            </w:r>
          </w:p>
        </w:tc>
      </w:tr>
      <w:tr w:rsidR="00927642" w:rsidRPr="00693DD2" w14:paraId="60C6F193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13C88D5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Що буде вивчатися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C07C2BF" w14:textId="29D7C3C3" w:rsidR="00927642" w:rsidRPr="00693DD2" w:rsidRDefault="0098066C" w:rsidP="007F08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</w:rPr>
              <w:t>О</w:t>
            </w:r>
            <w:r w:rsidR="00927642" w:rsidRPr="00693DD2">
              <w:rPr>
                <w:color w:val="000000"/>
                <w:sz w:val="28"/>
                <w:szCs w:val="28"/>
              </w:rPr>
              <w:t>броб</w:t>
            </w:r>
            <w:r w:rsidRPr="00693DD2">
              <w:rPr>
                <w:color w:val="000000"/>
                <w:sz w:val="28"/>
                <w:szCs w:val="28"/>
              </w:rPr>
              <w:t xml:space="preserve">ка </w:t>
            </w:r>
            <w:r w:rsidR="00927642" w:rsidRPr="00693DD2">
              <w:rPr>
                <w:color w:val="000000"/>
                <w:sz w:val="28"/>
                <w:szCs w:val="28"/>
              </w:rPr>
              <w:t>та статистичн</w:t>
            </w:r>
            <w:r w:rsidRPr="00693DD2">
              <w:rPr>
                <w:color w:val="000000"/>
                <w:sz w:val="28"/>
                <w:szCs w:val="28"/>
              </w:rPr>
              <w:t>ий</w:t>
            </w:r>
            <w:r w:rsidR="00927642" w:rsidRPr="00693DD2">
              <w:rPr>
                <w:color w:val="000000"/>
                <w:sz w:val="28"/>
                <w:szCs w:val="28"/>
              </w:rPr>
              <w:t xml:space="preserve"> аналіз фінансової інформації з використанням</w:t>
            </w:r>
            <w:r w:rsidRPr="00693DD2">
              <w:rPr>
                <w:color w:val="000000"/>
                <w:sz w:val="28"/>
                <w:szCs w:val="28"/>
              </w:rPr>
              <w:t xml:space="preserve"> </w:t>
            </w:r>
            <w:r w:rsidR="00927642" w:rsidRPr="00693DD2">
              <w:rPr>
                <w:color w:val="000000"/>
                <w:sz w:val="28"/>
                <w:szCs w:val="28"/>
              </w:rPr>
              <w:t xml:space="preserve">методів технічного аналізу та </w:t>
            </w:r>
            <w:r w:rsidR="005B5845" w:rsidRPr="00693DD2">
              <w:rPr>
                <w:color w:val="000000"/>
                <w:sz w:val="28"/>
                <w:szCs w:val="28"/>
              </w:rPr>
              <w:t xml:space="preserve">із застосуванням </w:t>
            </w:r>
            <w:r w:rsidR="00927642" w:rsidRPr="00693DD2">
              <w:rPr>
                <w:color w:val="000000"/>
                <w:sz w:val="28"/>
                <w:szCs w:val="28"/>
              </w:rPr>
              <w:t>сучасного програмного забезпечення.</w:t>
            </w:r>
          </w:p>
        </w:tc>
      </w:tr>
      <w:tr w:rsidR="00927642" w:rsidRPr="00693DD2" w14:paraId="22F82ADC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B2E8C96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Чому це цікаво/треба вивчати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6396583" w14:textId="747CDC13" w:rsidR="00927642" w:rsidRPr="00693DD2" w:rsidRDefault="005B5845" w:rsidP="007F08D2">
            <w:pPr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Технічний аналіз застосовується для прогнозування руху ринку (змін ціни в</w:t>
            </w:r>
            <w:bookmarkStart w:id="0" w:name="_GoBack"/>
            <w:bookmarkEnd w:id="0"/>
            <w:r w:rsidRPr="00693DD2">
              <w:rPr>
                <w:kern w:val="1"/>
                <w:sz w:val="28"/>
                <w:szCs w:val="28"/>
              </w:rPr>
              <w:t>алюти, обсягу угод та відкритого інтересу) та отримання торгових сигналів на основі інформаці</w:t>
            </w:r>
            <w:r w:rsidR="0024712D" w:rsidRPr="00693DD2">
              <w:rPr>
                <w:kern w:val="1"/>
                <w:sz w:val="28"/>
                <w:szCs w:val="28"/>
              </w:rPr>
              <w:t xml:space="preserve">ї </w:t>
            </w:r>
            <w:r w:rsidRPr="00693DD2">
              <w:rPr>
                <w:kern w:val="1"/>
                <w:sz w:val="28"/>
                <w:szCs w:val="28"/>
              </w:rPr>
              <w:t>за попередній час.</w:t>
            </w:r>
            <w:r w:rsidR="003920BA" w:rsidRPr="00693DD2">
              <w:rPr>
                <w:kern w:val="1"/>
                <w:sz w:val="28"/>
                <w:szCs w:val="28"/>
              </w:rPr>
              <w:t xml:space="preserve"> </w:t>
            </w:r>
            <w:r w:rsidR="001902D7" w:rsidRPr="00693DD2">
              <w:rPr>
                <w:kern w:val="1"/>
                <w:sz w:val="28"/>
                <w:szCs w:val="28"/>
              </w:rPr>
              <w:t>Рекомендації можуть використовуватись для розробки побудови стратегій інвесторів на фінансових ринках.</w:t>
            </w:r>
          </w:p>
        </w:tc>
      </w:tr>
      <w:tr w:rsidR="00927642" w:rsidRPr="00693DD2" w14:paraId="6CBA715E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590EC5A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Чого можна навчитися </w:t>
            </w:r>
            <w:r w:rsidRPr="007F08D2">
              <w:rPr>
                <w:i/>
                <w:kern w:val="1"/>
                <w:sz w:val="20"/>
                <w:szCs w:val="20"/>
              </w:rPr>
              <w:t>(результати навчання)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2B96092" w14:textId="131E6751" w:rsidR="00927642" w:rsidRPr="00693DD2" w:rsidRDefault="00774FA8" w:rsidP="007F08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</w:rPr>
              <w:t>Оволодіти</w:t>
            </w:r>
            <w:r w:rsidR="0024712D" w:rsidRPr="00693DD2">
              <w:rPr>
                <w:color w:val="000000"/>
                <w:sz w:val="28"/>
                <w:szCs w:val="28"/>
              </w:rPr>
              <w:t xml:space="preserve"> інструментами технічного аналізу, навчитися застосовувати графіки (</w:t>
            </w:r>
            <w:proofErr w:type="spellStart"/>
            <w:r w:rsidR="007F08D2">
              <w:rPr>
                <w:color w:val="000000"/>
                <w:sz w:val="28"/>
                <w:szCs w:val="28"/>
              </w:rPr>
              <w:t>charts</w:t>
            </w:r>
            <w:proofErr w:type="spellEnd"/>
            <w:r w:rsidR="007F08D2">
              <w:rPr>
                <w:color w:val="000000"/>
                <w:sz w:val="28"/>
                <w:szCs w:val="28"/>
              </w:rPr>
              <w:t xml:space="preserve">) зміни валютних цін для </w:t>
            </w:r>
            <w:r w:rsidR="003920BA" w:rsidRPr="00693DD2">
              <w:rPr>
                <w:color w:val="000000"/>
                <w:sz w:val="28"/>
                <w:szCs w:val="28"/>
              </w:rPr>
              <w:t>п</w:t>
            </w:r>
            <w:r w:rsidR="0024712D" w:rsidRPr="00693DD2">
              <w:rPr>
                <w:color w:val="000000"/>
                <w:sz w:val="28"/>
                <w:szCs w:val="28"/>
              </w:rPr>
              <w:t>р</w:t>
            </w:r>
            <w:r w:rsidR="007F08D2">
              <w:rPr>
                <w:color w:val="000000"/>
                <w:sz w:val="28"/>
                <w:szCs w:val="28"/>
              </w:rPr>
              <w:t xml:space="preserve">огнозування, будувати технічні </w:t>
            </w:r>
            <w:r w:rsidR="0024712D" w:rsidRPr="00693DD2">
              <w:rPr>
                <w:color w:val="000000"/>
                <w:sz w:val="28"/>
                <w:szCs w:val="28"/>
              </w:rPr>
              <w:t>індикатори шляхом математичної обробки усереднених та інших характеристик руху цін</w:t>
            </w:r>
            <w:r w:rsidR="003920BA" w:rsidRPr="00693DD2">
              <w:rPr>
                <w:color w:val="000000"/>
                <w:sz w:val="28"/>
                <w:szCs w:val="28"/>
              </w:rPr>
              <w:t>, оптимізувати торгівельні стратегії, застосовувати та самостійно будувати автоматичні торгівельні системи.</w:t>
            </w:r>
          </w:p>
        </w:tc>
      </w:tr>
      <w:tr w:rsidR="00927642" w:rsidRPr="00693DD2" w14:paraId="45395F1B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79C030E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Як можна користуватися набутими знаннями і уміннями </w:t>
            </w:r>
            <w:r w:rsidRPr="007F08D2">
              <w:rPr>
                <w:kern w:val="1"/>
                <w:sz w:val="20"/>
                <w:szCs w:val="20"/>
              </w:rPr>
              <w:t>(компетентності)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DA9C6B9" w14:textId="50812BC1" w:rsidR="00927642" w:rsidRPr="00693DD2" w:rsidRDefault="001902D7" w:rsidP="007F08D2">
            <w:pPr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Здатність використовувати графічні, математичні моделі, основні індикатори, правила керування ризиком та капіталом для успішної біржової </w:t>
            </w:r>
            <w:r w:rsidR="00774FA8" w:rsidRPr="00693DD2">
              <w:rPr>
                <w:kern w:val="1"/>
                <w:sz w:val="28"/>
                <w:szCs w:val="28"/>
              </w:rPr>
              <w:t>торгівлі</w:t>
            </w:r>
            <w:r w:rsidRPr="00693DD2">
              <w:rPr>
                <w:kern w:val="1"/>
                <w:sz w:val="28"/>
                <w:szCs w:val="28"/>
              </w:rPr>
              <w:t>.</w:t>
            </w:r>
          </w:p>
        </w:tc>
      </w:tr>
      <w:tr w:rsidR="00927642" w:rsidRPr="00693DD2" w14:paraId="33F834FB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502559E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Інформаційне забезпечення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59B5AD4" w14:textId="34A2B287" w:rsidR="00927642" w:rsidRPr="00693DD2" w:rsidRDefault="0000242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Конспект лекцій, презентації</w:t>
            </w:r>
          </w:p>
        </w:tc>
      </w:tr>
      <w:tr w:rsidR="00927642" w:rsidRPr="00693DD2" w14:paraId="65BD7939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4156357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Види навчальних занять </w:t>
            </w:r>
          </w:p>
          <w:p w14:paraId="5390D87F" w14:textId="77777777" w:rsidR="00927642" w:rsidRPr="007F08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kern w:val="1"/>
                <w:sz w:val="20"/>
                <w:szCs w:val="20"/>
              </w:rPr>
            </w:pPr>
            <w:r w:rsidRPr="007F08D2">
              <w:rPr>
                <w:i/>
                <w:iCs/>
                <w:kern w:val="1"/>
                <w:sz w:val="20"/>
                <w:szCs w:val="20"/>
              </w:rPr>
              <w:t>(лекції, практичні, семінарські, лабораторні заняття тощо)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6CE5C72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лекційні і лабораторні заняття</w:t>
            </w:r>
          </w:p>
        </w:tc>
      </w:tr>
      <w:tr w:rsidR="00927642" w:rsidRPr="00693DD2" w14:paraId="1A4186DF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0E06AA2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Вид семестрового контролю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C67840C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диф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>. залік</w:t>
            </w:r>
          </w:p>
        </w:tc>
      </w:tr>
      <w:tr w:rsidR="00927642" w:rsidRPr="00693DD2" w14:paraId="430D4248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EDFC990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Максимальна кількість здобувачів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A448E20" w14:textId="77777777" w:rsidR="00927642" w:rsidRPr="00693DD2" w:rsidRDefault="00927642" w:rsidP="007F08D2">
            <w:pPr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120</w:t>
            </w:r>
          </w:p>
        </w:tc>
      </w:tr>
      <w:tr w:rsidR="00927642" w:rsidRPr="00693DD2" w14:paraId="23EFBC5C" w14:textId="77777777" w:rsidTr="00C674C5">
        <w:tc>
          <w:tcPr>
            <w:tcW w:w="4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EB4AA22" w14:textId="77777777" w:rsidR="00927642" w:rsidRPr="00693DD2" w:rsidRDefault="00927642" w:rsidP="00C674C5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Мінімальна кількість здобувачів </w:t>
            </w:r>
            <w:r w:rsidRPr="007F08D2">
              <w:rPr>
                <w:i/>
                <w:iCs/>
                <w:kern w:val="1"/>
                <w:sz w:val="20"/>
                <w:szCs w:val="20"/>
              </w:rPr>
              <w:t xml:space="preserve">(тільки для </w:t>
            </w:r>
            <w:proofErr w:type="spellStart"/>
            <w:r w:rsidRPr="007F08D2">
              <w:rPr>
                <w:i/>
                <w:iCs/>
                <w:kern w:val="1"/>
                <w:sz w:val="20"/>
                <w:szCs w:val="20"/>
              </w:rPr>
              <w:t>мовних</w:t>
            </w:r>
            <w:proofErr w:type="spellEnd"/>
            <w:r w:rsidRPr="007F08D2">
              <w:rPr>
                <w:i/>
                <w:iCs/>
                <w:kern w:val="1"/>
                <w:sz w:val="20"/>
                <w:szCs w:val="20"/>
              </w:rPr>
              <w:t xml:space="preserve"> та творчих дисциплін)</w:t>
            </w:r>
          </w:p>
        </w:tc>
      </w:tr>
    </w:tbl>
    <w:p w14:paraId="220F1B99" w14:textId="09EA7867" w:rsidR="007F08D2" w:rsidRDefault="007F08D2">
      <w:pPr>
        <w:rPr>
          <w:sz w:val="28"/>
          <w:szCs w:val="28"/>
        </w:rPr>
      </w:pPr>
    </w:p>
    <w:p w14:paraId="0FCCBEE2" w14:textId="77777777" w:rsidR="00AB2595" w:rsidRPr="004F76E3" w:rsidRDefault="00AB2595" w:rsidP="00AB2595">
      <w:pPr>
        <w:jc w:val="center"/>
        <w:rPr>
          <w:sz w:val="28"/>
          <w:szCs w:val="28"/>
        </w:rPr>
      </w:pPr>
      <w:r w:rsidRPr="004F76E3">
        <w:rPr>
          <w:sz w:val="28"/>
          <w:szCs w:val="28"/>
        </w:rPr>
        <w:t>Декан факультету             _____________</w:t>
      </w:r>
      <w:r w:rsidRPr="004F76E3">
        <w:rPr>
          <w:sz w:val="28"/>
          <w:szCs w:val="28"/>
        </w:rPr>
        <w:tab/>
      </w:r>
      <w:r w:rsidRPr="004F76E3">
        <w:rPr>
          <w:sz w:val="28"/>
          <w:szCs w:val="28"/>
        </w:rPr>
        <w:tab/>
        <w:t>Олена КІСЕЛЬОВА</w:t>
      </w:r>
    </w:p>
    <w:p w14:paraId="0319CCA6" w14:textId="77777777" w:rsidR="00AB2595" w:rsidRDefault="00AB2595">
      <w:pPr>
        <w:rPr>
          <w:sz w:val="28"/>
          <w:szCs w:val="28"/>
        </w:rPr>
      </w:pPr>
    </w:p>
    <w:sectPr w:rsidR="00AB2595" w:rsidSect="007F08D2">
      <w:pgSz w:w="11900" w:h="16840"/>
      <w:pgMar w:top="130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3A0"/>
    <w:multiLevelType w:val="multilevel"/>
    <w:tmpl w:val="C3D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63"/>
    <w:rsid w:val="00002422"/>
    <w:rsid w:val="00010B29"/>
    <w:rsid w:val="00017098"/>
    <w:rsid w:val="0003681A"/>
    <w:rsid w:val="000622B8"/>
    <w:rsid w:val="000A2B74"/>
    <w:rsid w:val="00106067"/>
    <w:rsid w:val="0012033B"/>
    <w:rsid w:val="001902D7"/>
    <w:rsid w:val="001B2FCF"/>
    <w:rsid w:val="001B3FA1"/>
    <w:rsid w:val="001D1150"/>
    <w:rsid w:val="0024712D"/>
    <w:rsid w:val="00301A2A"/>
    <w:rsid w:val="0036193B"/>
    <w:rsid w:val="003920BA"/>
    <w:rsid w:val="003F696F"/>
    <w:rsid w:val="003F6A75"/>
    <w:rsid w:val="00450172"/>
    <w:rsid w:val="00492107"/>
    <w:rsid w:val="004E2D94"/>
    <w:rsid w:val="0058256B"/>
    <w:rsid w:val="005B5845"/>
    <w:rsid w:val="00693DD2"/>
    <w:rsid w:val="006A593B"/>
    <w:rsid w:val="007345DD"/>
    <w:rsid w:val="007673F1"/>
    <w:rsid w:val="00774FA8"/>
    <w:rsid w:val="007C1274"/>
    <w:rsid w:val="007F08D2"/>
    <w:rsid w:val="0081159E"/>
    <w:rsid w:val="008B2C4E"/>
    <w:rsid w:val="008E3750"/>
    <w:rsid w:val="00927642"/>
    <w:rsid w:val="009351E9"/>
    <w:rsid w:val="0098066C"/>
    <w:rsid w:val="00A52212"/>
    <w:rsid w:val="00A907E0"/>
    <w:rsid w:val="00AB2595"/>
    <w:rsid w:val="00AE1601"/>
    <w:rsid w:val="00B76824"/>
    <w:rsid w:val="00B82610"/>
    <w:rsid w:val="00B843D0"/>
    <w:rsid w:val="00C15C63"/>
    <w:rsid w:val="00C315C2"/>
    <w:rsid w:val="00C51700"/>
    <w:rsid w:val="00C636D6"/>
    <w:rsid w:val="00D247C2"/>
    <w:rsid w:val="00E71753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0A9A"/>
  <w15:chartTrackingRefBased/>
  <w15:docId w15:val="{9CABE51C-C6B4-DE40-A77B-CC9F58B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dlist-item">
    <w:name w:val="pud__list-item"/>
    <w:basedOn w:val="a"/>
    <w:rsid w:val="00767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86A5-8EAB-474B-9B4D-5FB52D2F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Huk</dc:creator>
  <cp:keywords/>
  <dc:description/>
  <cp:lastModifiedBy>Liliia Bozhukha</cp:lastModifiedBy>
  <cp:revision>3</cp:revision>
  <dcterms:created xsi:type="dcterms:W3CDTF">2022-06-10T08:11:00Z</dcterms:created>
  <dcterms:modified xsi:type="dcterms:W3CDTF">2022-06-10T09:04:00Z</dcterms:modified>
</cp:coreProperties>
</file>