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jc w:val="center"/>
        <w:tblInd w:w="-152" w:type="dxa"/>
        <w:tblLook w:val="00A0"/>
      </w:tblPr>
      <w:tblGrid>
        <w:gridCol w:w="3866"/>
        <w:gridCol w:w="6867"/>
      </w:tblGrid>
      <w:tr w:rsidR="0006567A" w:rsidRPr="009A20D8" w:rsidTr="0012678C">
        <w:trPr>
          <w:trHeight w:val="253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Код та назва дисципліни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44B9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1-ф05-1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r w:rsidRPr="00944B9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_Математична економіка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44B9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_IV_7</w:t>
            </w:r>
          </w:p>
        </w:tc>
      </w:tr>
      <w:tr w:rsidR="0006567A" w:rsidRPr="009A20D8" w:rsidTr="0012678C">
        <w:trPr>
          <w:trHeight w:val="644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Рекомендується для галузі знань</w:t>
            </w: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(спеціальності,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ОП</w:t>
            </w: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32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32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</w:tc>
      </w:tr>
      <w:tr w:rsidR="0006567A" w:rsidRPr="009A20D8" w:rsidTr="0012678C">
        <w:trPr>
          <w:trHeight w:val="159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32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Обчислювальної математики та математичної кібернетики</w:t>
            </w:r>
          </w:p>
        </w:tc>
      </w:tr>
      <w:tr w:rsidR="0006567A" w:rsidRPr="009A20D8" w:rsidTr="0012678C">
        <w:trPr>
          <w:trHeight w:val="105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П.І.П. НПП (за можливості)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Трофімов О.В.</w:t>
            </w:r>
          </w:p>
        </w:tc>
      </w:tr>
      <w:tr w:rsidR="0006567A" w:rsidRPr="009A20D8" w:rsidTr="0012678C">
        <w:trPr>
          <w:trHeight w:val="86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32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06567A" w:rsidRPr="009A20D8" w:rsidTr="0012678C">
        <w:trPr>
          <w:trHeight w:val="86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Курс, семестр</w:t>
            </w: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(в якому буде викл</w:t>
            </w: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датись)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6A3869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(7 семестр)</w:t>
            </w:r>
          </w:p>
        </w:tc>
      </w:tr>
      <w:tr w:rsidR="0006567A" w:rsidRPr="009A20D8" w:rsidTr="0012678C">
        <w:trPr>
          <w:trHeight w:val="86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32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06567A" w:rsidRPr="009A20D8" w:rsidTr="0012678C">
        <w:trPr>
          <w:trHeight w:val="192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Пререквізити (передумови вивче</w:t>
            </w: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ня дисципліни) 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lang w:val="uk-UA"/>
              </w:rPr>
              <w:t>знання з математичного аналізу, методів оптимізації, основ системн</w:t>
            </w:r>
            <w:r w:rsidRPr="0014171A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14171A">
              <w:rPr>
                <w:rFonts w:ascii="Times New Roman" w:hAnsi="Times New Roman"/>
                <w:color w:val="000000"/>
                <w:lang w:val="uk-UA"/>
              </w:rPr>
              <w:t xml:space="preserve">го аналізу </w:t>
            </w:r>
          </w:p>
        </w:tc>
      </w:tr>
      <w:tr w:rsidR="0006567A" w:rsidRPr="009A7870" w:rsidTr="0012678C">
        <w:trPr>
          <w:trHeight w:val="644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uk-UA"/>
              </w:rPr>
            </w:pPr>
            <w:r w:rsidRPr="0014171A">
              <w:rPr>
                <w:rFonts w:ascii="Times New Roman" w:hAnsi="Times New Roman"/>
                <w:lang w:val="uk-UA"/>
              </w:rPr>
              <w:t>концептуальні засади математичного моделювання економіки; мет</w:t>
            </w:r>
            <w:r w:rsidRPr="0014171A">
              <w:rPr>
                <w:rFonts w:ascii="Times New Roman" w:hAnsi="Times New Roman"/>
                <w:lang w:val="uk-UA"/>
              </w:rPr>
              <w:t>о</w:t>
            </w:r>
            <w:r w:rsidRPr="0014171A">
              <w:rPr>
                <w:rFonts w:ascii="Times New Roman" w:hAnsi="Times New Roman"/>
                <w:lang w:val="uk-UA"/>
              </w:rPr>
              <w:t>дику створення традиційних та спеціальних моделей макроекономіки; сутність алгоритмічного моделювання в економіці та підприємництві; методику побудови моделей поведінки споживачів, виробників та їх взаємодії.</w:t>
            </w:r>
          </w:p>
        </w:tc>
      </w:tr>
      <w:tr w:rsidR="0006567A" w:rsidRPr="00EA490F" w:rsidTr="0012678C">
        <w:trPr>
          <w:trHeight w:val="644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lang w:val="uk-UA"/>
              </w:rPr>
              <w:t xml:space="preserve">можливість </w:t>
            </w:r>
            <w:r w:rsidRPr="0014171A">
              <w:rPr>
                <w:rFonts w:ascii="Times New Roman" w:hAnsi="Times New Roman"/>
                <w:lang w:val="uk-UA"/>
              </w:rPr>
              <w:t>навчитися проводити активний системний аналіз соціал</w:t>
            </w:r>
            <w:r w:rsidRPr="0014171A">
              <w:rPr>
                <w:rFonts w:ascii="Times New Roman" w:hAnsi="Times New Roman"/>
                <w:lang w:val="uk-UA"/>
              </w:rPr>
              <w:t>ь</w:t>
            </w:r>
            <w:r w:rsidRPr="0014171A">
              <w:rPr>
                <w:rFonts w:ascii="Times New Roman" w:hAnsi="Times New Roman"/>
                <w:lang w:val="uk-UA"/>
              </w:rPr>
              <w:t>но-економічних процесів, явищ та систем на макро- і мікроекономі</w:t>
            </w:r>
            <w:r w:rsidRPr="0014171A">
              <w:rPr>
                <w:rFonts w:ascii="Times New Roman" w:hAnsi="Times New Roman"/>
                <w:lang w:val="uk-UA"/>
              </w:rPr>
              <w:t>ч</w:t>
            </w:r>
            <w:r w:rsidRPr="0014171A">
              <w:rPr>
                <w:rFonts w:ascii="Times New Roman" w:hAnsi="Times New Roman"/>
                <w:lang w:val="uk-UA"/>
              </w:rPr>
              <w:t>ному рівнях</w:t>
            </w:r>
          </w:p>
        </w:tc>
      </w:tr>
      <w:tr w:rsidR="0006567A" w:rsidRPr="009A20D8" w:rsidTr="0012678C">
        <w:trPr>
          <w:trHeight w:val="644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Default="0006567A" w:rsidP="00AF40A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Чого можна навчитися</w:t>
            </w: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944B9C" w:rsidRDefault="0006567A" w:rsidP="00AF40A7">
            <w:pPr>
              <w:pStyle w:val="ListParagraph"/>
              <w:numPr>
                <w:ilvl w:val="0"/>
                <w:numId w:val="4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222"/>
                <w:lang w:val="uk-UA"/>
              </w:rPr>
            </w:pPr>
            <w:r w:rsidRPr="00944B9C">
              <w:rPr>
                <w:rFonts w:ascii="Times New Roman" w:hAnsi="Times New Roman"/>
                <w:color w:val="222222"/>
                <w:lang w:val="uk-UA"/>
              </w:rPr>
              <w:t>Вміти визначати ймовірнісні розподіли стохастичних показників та факторів, що впливають на характеристики досліджуваних процесів, досліджувати властивості та знаходити характеристики багатовимі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р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них випадкових векторів та використовувати їх для розв’язання пр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и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кладних задач, формалізувати стохастичні показники та фактори у вигляді випадкових величин, векторів, процесів.</w:t>
            </w:r>
          </w:p>
          <w:p w:rsidR="0006567A" w:rsidRPr="00944B9C" w:rsidRDefault="0006567A" w:rsidP="00AF40A7">
            <w:pPr>
              <w:pStyle w:val="ListParagraph"/>
              <w:numPr>
                <w:ilvl w:val="0"/>
                <w:numId w:val="4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222"/>
                <w:lang w:val="uk-UA"/>
              </w:rPr>
            </w:pPr>
            <w:r w:rsidRPr="00944B9C">
              <w:rPr>
                <w:rFonts w:ascii="Times New Roman" w:hAnsi="Times New Roman"/>
                <w:color w:val="222222"/>
                <w:lang w:val="uk-UA"/>
              </w:rPr>
              <w:t>Знати основи теорії оптимізації, оптимального керування, теорії прийняття рішень, вміти застосовувати їх на практиці для розв’язування прикладних задач управління і проектування складних систем.</w:t>
            </w:r>
          </w:p>
          <w:p w:rsidR="0006567A" w:rsidRPr="00944B9C" w:rsidRDefault="0006567A" w:rsidP="00AF40A7">
            <w:pPr>
              <w:pStyle w:val="ListParagraph"/>
              <w:numPr>
                <w:ilvl w:val="0"/>
                <w:numId w:val="4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44B9C">
              <w:rPr>
                <w:rFonts w:ascii="Times New Roman" w:hAnsi="Times New Roman"/>
                <w:color w:val="222222"/>
                <w:lang w:val="uk-UA"/>
              </w:rPr>
              <w:t>Застосовувати методи і засоби роботи з даними і знаннями, методи математичного, логіко-семантичного, об’єктного та імітаційного м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о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делювання, технології системного і статистичного аналізу.</w:t>
            </w:r>
          </w:p>
        </w:tc>
      </w:tr>
      <w:tr w:rsidR="0006567A" w:rsidRPr="009A7870" w:rsidTr="0012678C">
        <w:trPr>
          <w:trHeight w:val="644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</w:t>
            </w: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(компетен</w:t>
            </w: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</w:t>
            </w:r>
            <w:r w:rsidRPr="0014171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ності)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944B9C" w:rsidRDefault="0006567A" w:rsidP="00AF40A7">
            <w:pPr>
              <w:pStyle w:val="ListParagraph"/>
              <w:numPr>
                <w:ilvl w:val="0"/>
                <w:numId w:val="4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222"/>
                <w:lang w:val="uk-UA"/>
              </w:rPr>
            </w:pPr>
            <w:r w:rsidRPr="00944B9C">
              <w:rPr>
                <w:rFonts w:ascii="Times New Roman" w:hAnsi="Times New Roman"/>
                <w:lang w:val="uk-UA"/>
              </w:rPr>
              <w:t> 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Здатність використовувати системний аналіз як сучасну міждисц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и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плінарну методологію, що базується на прикладних математичних методах та сучасних інформаційних технологіях  і  орієнтована  на  вирішення задач аналізу і синтезу технічних, економічних, соціал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ь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 xml:space="preserve">них, екологічних та інших складних систем.  </w:t>
            </w:r>
          </w:p>
          <w:p w:rsidR="0006567A" w:rsidRPr="00944B9C" w:rsidRDefault="0006567A" w:rsidP="00AF40A7">
            <w:pPr>
              <w:pStyle w:val="ListParagraph"/>
              <w:numPr>
                <w:ilvl w:val="0"/>
                <w:numId w:val="4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222"/>
                <w:lang w:val="uk-UA"/>
              </w:rPr>
            </w:pPr>
            <w:r w:rsidRPr="00944B9C">
              <w:rPr>
                <w:rFonts w:ascii="Times New Roman" w:hAnsi="Times New Roman"/>
                <w:color w:val="222222"/>
                <w:lang w:val="uk-UA"/>
              </w:rPr>
              <w:t>Здатність будувати математично коректні  моделі статичних та д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и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намічних процесів і систем із зосередженими та розподіленими пар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а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метрами із врахуванням невизначеності зовнішніх та внутрішніх фа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>к</w:t>
            </w:r>
            <w:r w:rsidRPr="00944B9C">
              <w:rPr>
                <w:rFonts w:ascii="Times New Roman" w:hAnsi="Times New Roman"/>
                <w:color w:val="222222"/>
                <w:lang w:val="uk-UA"/>
              </w:rPr>
              <w:t xml:space="preserve">торів. </w:t>
            </w:r>
          </w:p>
          <w:p w:rsidR="0006567A" w:rsidRPr="00944B9C" w:rsidRDefault="0006567A" w:rsidP="00AF40A7">
            <w:pPr>
              <w:pStyle w:val="ListParagraph"/>
              <w:numPr>
                <w:ilvl w:val="0"/>
                <w:numId w:val="4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44B9C">
              <w:rPr>
                <w:rFonts w:ascii="Times New Roman" w:hAnsi="Times New Roman"/>
                <w:color w:val="222222"/>
                <w:lang w:val="uk-UA"/>
              </w:rPr>
              <w:t xml:space="preserve">Здатність формулювати задачі оптимізації при проектуванні систем управління та прийняття рішень, а саме: математичні моделі, критерії оптимальності, обмеження, цілі управління; обирати раціональні  методи та алгоритми розв’язання задач оптимізації та оптимального керування. </w:t>
            </w:r>
          </w:p>
        </w:tc>
      </w:tr>
      <w:tr w:rsidR="0006567A" w:rsidRPr="009A20D8" w:rsidTr="0012678C">
        <w:trPr>
          <w:trHeight w:val="174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lang w:val="uk-UA"/>
              </w:rPr>
              <w:t xml:space="preserve">електронні методичні матеріали, пакет </w:t>
            </w:r>
            <w:r w:rsidRPr="0014171A">
              <w:rPr>
                <w:rFonts w:ascii="Times New Roman" w:hAnsi="Times New Roman"/>
                <w:color w:val="000000"/>
                <w:lang w:val="en-US"/>
              </w:rPr>
              <w:t>MatLab</w:t>
            </w:r>
            <w:r w:rsidRPr="0014171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14171A">
              <w:rPr>
                <w:rFonts w:ascii="Times New Roman" w:hAnsi="Times New Roman"/>
                <w:color w:val="000000"/>
                <w:lang w:val="uk-UA"/>
              </w:rPr>
              <w:t>статистичні пакети</w:t>
            </w:r>
          </w:p>
        </w:tc>
      </w:tr>
      <w:tr w:rsidR="0006567A" w:rsidRPr="009A20D8" w:rsidTr="0012678C">
        <w:trPr>
          <w:trHeight w:val="86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Види навчальних занять </w:t>
            </w:r>
          </w:p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1417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(лекції, практичні, семінарські, лабор</w:t>
            </w:r>
            <w:r w:rsidRPr="001417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а</w:t>
            </w:r>
            <w:r w:rsidRPr="001417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торні заняття тощо)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32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06567A" w:rsidRPr="009A20D8" w:rsidTr="0012678C">
        <w:trPr>
          <w:trHeight w:val="224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06567A" w:rsidRPr="009A20D8" w:rsidTr="0012678C">
        <w:trPr>
          <w:trHeight w:val="215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14171A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кількість здобувачів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06567A" w:rsidRPr="009A20D8" w:rsidTr="0012678C">
        <w:trPr>
          <w:trHeight w:val="86"/>
          <w:jc w:val="center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6567A" w:rsidRPr="0014171A" w:rsidRDefault="0006567A" w:rsidP="00AF40A7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4"/>
                <w:szCs w:val="24"/>
                <w:lang w:val="uk-UA"/>
              </w:rPr>
            </w:pPr>
            <w:r w:rsidRPr="001417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1417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(тільки для мовних та творчих дисциплін)</w:t>
            </w:r>
          </w:p>
        </w:tc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67A" w:rsidRPr="00EA32C3" w:rsidRDefault="0006567A" w:rsidP="00AF40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06567A" w:rsidRPr="0012678C" w:rsidRDefault="0006567A" w:rsidP="0012678C">
      <w:pPr>
        <w:spacing w:before="120"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12678C">
        <w:rPr>
          <w:rFonts w:ascii="Times New Roman" w:hAnsi="Times New Roman"/>
          <w:sz w:val="24"/>
          <w:szCs w:val="24"/>
          <w:lang w:val="uk-UA"/>
        </w:rPr>
        <w:t>Декан факультету _____________________________Олена КІСЕЛЬОВА</w:t>
      </w:r>
    </w:p>
    <w:p w:rsidR="0006567A" w:rsidRPr="007A2BD8" w:rsidRDefault="0006567A">
      <w:pPr>
        <w:rPr>
          <w:lang w:val="uk-UA"/>
        </w:rPr>
      </w:pPr>
    </w:p>
    <w:sectPr w:rsidR="0006567A" w:rsidRPr="007A2BD8" w:rsidSect="001417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32B1"/>
    <w:multiLevelType w:val="hybridMultilevel"/>
    <w:tmpl w:val="4D94A08E"/>
    <w:lvl w:ilvl="0" w:tplc="D31C7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B1DCD"/>
    <w:multiLevelType w:val="hybridMultilevel"/>
    <w:tmpl w:val="E5C8C980"/>
    <w:lvl w:ilvl="0" w:tplc="50CE6B34">
      <w:numFmt w:val="bullet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C0A8D"/>
    <w:multiLevelType w:val="hybridMultilevel"/>
    <w:tmpl w:val="E3C23F58"/>
    <w:lvl w:ilvl="0" w:tplc="50CE6B34">
      <w:numFmt w:val="bullet"/>
      <w:lvlText w:val="-"/>
      <w:lvlJc w:val="left"/>
      <w:pPr>
        <w:ind w:left="786" w:hanging="360"/>
      </w:pPr>
      <w:rPr>
        <w:rFonts w:ascii="Tunga" w:eastAsia="Times New Roman" w:hAnsi="Tunga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6567A"/>
    <w:rsid w:val="00076A8B"/>
    <w:rsid w:val="00091298"/>
    <w:rsid w:val="000F3C16"/>
    <w:rsid w:val="0012678C"/>
    <w:rsid w:val="0014171A"/>
    <w:rsid w:val="00151342"/>
    <w:rsid w:val="0018388D"/>
    <w:rsid w:val="001C76B2"/>
    <w:rsid w:val="001D32A9"/>
    <w:rsid w:val="00285D8A"/>
    <w:rsid w:val="002A7ACB"/>
    <w:rsid w:val="003F0D19"/>
    <w:rsid w:val="004069E9"/>
    <w:rsid w:val="00426B99"/>
    <w:rsid w:val="004A3823"/>
    <w:rsid w:val="004B413A"/>
    <w:rsid w:val="004F0023"/>
    <w:rsid w:val="005730C9"/>
    <w:rsid w:val="0059243D"/>
    <w:rsid w:val="00596F4F"/>
    <w:rsid w:val="005C79D7"/>
    <w:rsid w:val="0066203A"/>
    <w:rsid w:val="00684837"/>
    <w:rsid w:val="006A3869"/>
    <w:rsid w:val="0072489E"/>
    <w:rsid w:val="00756A69"/>
    <w:rsid w:val="00790367"/>
    <w:rsid w:val="007A2BD8"/>
    <w:rsid w:val="007F745A"/>
    <w:rsid w:val="008406F6"/>
    <w:rsid w:val="008A2A50"/>
    <w:rsid w:val="00944B9C"/>
    <w:rsid w:val="009875DD"/>
    <w:rsid w:val="009A20D8"/>
    <w:rsid w:val="009A7870"/>
    <w:rsid w:val="009D2868"/>
    <w:rsid w:val="00A37CC9"/>
    <w:rsid w:val="00A70D9D"/>
    <w:rsid w:val="00AF40A7"/>
    <w:rsid w:val="00B43EC9"/>
    <w:rsid w:val="00C07015"/>
    <w:rsid w:val="00C25676"/>
    <w:rsid w:val="00C45A0F"/>
    <w:rsid w:val="00CA03AA"/>
    <w:rsid w:val="00CE6524"/>
    <w:rsid w:val="00D338A4"/>
    <w:rsid w:val="00DB1537"/>
    <w:rsid w:val="00EA32C3"/>
    <w:rsid w:val="00EA490F"/>
    <w:rsid w:val="00F46A48"/>
    <w:rsid w:val="00F662A7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662A7"/>
    <w:pPr>
      <w:spacing w:after="0" w:line="240" w:lineRule="auto"/>
      <w:ind w:left="552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62A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A3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1</Pages>
  <Words>458</Words>
  <Characters>2611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19</cp:revision>
  <dcterms:created xsi:type="dcterms:W3CDTF">2020-09-09T20:30:00Z</dcterms:created>
  <dcterms:modified xsi:type="dcterms:W3CDTF">2023-08-27T18:40:00Z</dcterms:modified>
</cp:coreProperties>
</file>