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4363"/>
        <w:gridCol w:w="5491"/>
      </w:tblGrid>
      <w:tr w:rsidR="007C15AB" w:rsidRPr="0077050D" w:rsidTr="007C15AB">
        <w:trPr>
          <w:trHeight w:val="264"/>
        </w:trPr>
        <w:tc>
          <w:tcPr>
            <w:tcW w:w="2214" w:type="pct"/>
            <w:tcBorders>
              <w:top w:val="single" w:sz="8" w:space="0" w:color="auto"/>
              <w:left w:val="single" w:sz="8" w:space="0" w:color="auto"/>
              <w:bottom w:val="nil"/>
              <w:right w:val="nil"/>
            </w:tcBorders>
            <w:shd w:val="clear" w:color="000000" w:fill="FFFFFF"/>
            <w:vAlign w:val="center"/>
          </w:tcPr>
          <w:p w:rsidR="007C15AB" w:rsidRPr="007C15AB" w:rsidRDefault="007C15AB" w:rsidP="00791189">
            <w:pPr>
              <w:spacing w:after="0" w:line="240" w:lineRule="auto"/>
              <w:rPr>
                <w:rFonts w:ascii="Times New Roman" w:hAnsi="Times New Roman"/>
                <w:color w:val="000000"/>
                <w:sz w:val="18"/>
                <w:szCs w:val="18"/>
              </w:rPr>
            </w:pPr>
            <w:r w:rsidRPr="007C15AB">
              <w:rPr>
                <w:rFonts w:ascii="Times New Roman" w:hAnsi="Times New Roman"/>
                <w:color w:val="000000"/>
                <w:sz w:val="18"/>
                <w:szCs w:val="18"/>
              </w:rPr>
              <w:t>Код та назва дисципліни</w:t>
            </w:r>
          </w:p>
        </w:tc>
        <w:tc>
          <w:tcPr>
            <w:tcW w:w="2786" w:type="pct"/>
            <w:tcBorders>
              <w:top w:val="single" w:sz="8" w:space="0" w:color="auto"/>
              <w:left w:val="single" w:sz="8" w:space="0" w:color="auto"/>
              <w:bottom w:val="nil"/>
              <w:right w:val="single" w:sz="8" w:space="0" w:color="auto"/>
            </w:tcBorders>
            <w:shd w:val="clear" w:color="000000" w:fill="FFFFFF"/>
          </w:tcPr>
          <w:p w:rsidR="007C15AB" w:rsidRPr="0077050D" w:rsidRDefault="007C15AB" w:rsidP="007D6A71">
            <w:pPr>
              <w:spacing w:after="0" w:line="240" w:lineRule="auto"/>
              <w:jc w:val="both"/>
              <w:rPr>
                <w:rFonts w:ascii="Times New Roman" w:hAnsi="Times New Roman"/>
                <w:b/>
                <w:bCs/>
                <w:color w:val="000000"/>
                <w:sz w:val="18"/>
                <w:szCs w:val="18"/>
              </w:rPr>
            </w:pPr>
            <w:r>
              <w:rPr>
                <w:rFonts w:ascii="Times New Roman" w:hAnsi="Times New Roman"/>
                <w:color w:val="000000"/>
                <w:sz w:val="18"/>
                <w:szCs w:val="18"/>
              </w:rPr>
              <w:t xml:space="preserve">3-151-1 </w:t>
            </w:r>
            <w:r w:rsidRPr="0077050D">
              <w:rPr>
                <w:rFonts w:ascii="Times New Roman" w:hAnsi="Times New Roman"/>
                <w:color w:val="000000"/>
                <w:sz w:val="18"/>
                <w:szCs w:val="18"/>
              </w:rPr>
              <w:t>Спостереження стану технічних систем і технологічних процесів</w:t>
            </w:r>
          </w:p>
        </w:tc>
      </w:tr>
      <w:tr w:rsidR="007C15AB" w:rsidRPr="0077050D" w:rsidTr="007C15AB">
        <w:trPr>
          <w:trHeight w:val="398"/>
        </w:trPr>
        <w:tc>
          <w:tcPr>
            <w:tcW w:w="2214" w:type="pct"/>
            <w:tcBorders>
              <w:top w:val="single" w:sz="8" w:space="0" w:color="auto"/>
              <w:left w:val="single" w:sz="8" w:space="0" w:color="auto"/>
              <w:bottom w:val="nil"/>
              <w:right w:val="nil"/>
            </w:tcBorders>
            <w:shd w:val="clear" w:color="000000" w:fill="FFFFFF"/>
            <w:vAlign w:val="center"/>
          </w:tcPr>
          <w:p w:rsidR="007C15AB" w:rsidRPr="007C15AB" w:rsidRDefault="007C15AB" w:rsidP="00791189">
            <w:pPr>
              <w:spacing w:after="0" w:line="240" w:lineRule="auto"/>
              <w:rPr>
                <w:rFonts w:ascii="Times New Roman" w:hAnsi="Times New Roman"/>
                <w:color w:val="000000"/>
                <w:sz w:val="18"/>
                <w:szCs w:val="18"/>
              </w:rPr>
            </w:pPr>
            <w:r w:rsidRPr="007C15AB">
              <w:rPr>
                <w:rFonts w:ascii="Times New Roman" w:hAnsi="Times New Roman"/>
                <w:color w:val="000000"/>
                <w:sz w:val="18"/>
                <w:szCs w:val="18"/>
              </w:rPr>
              <w:t xml:space="preserve">Рекомендується для галузі знань </w:t>
            </w:r>
            <w:r w:rsidRPr="007C15AB">
              <w:rPr>
                <w:rFonts w:ascii="Times New Roman" w:hAnsi="Times New Roman"/>
                <w:i/>
                <w:color w:val="000000"/>
                <w:sz w:val="18"/>
                <w:szCs w:val="18"/>
              </w:rPr>
              <w:t>(спеціальності, освітньої програми)</w:t>
            </w:r>
          </w:p>
        </w:tc>
        <w:tc>
          <w:tcPr>
            <w:tcW w:w="2786" w:type="pct"/>
            <w:tcBorders>
              <w:top w:val="single" w:sz="8" w:space="0" w:color="auto"/>
              <w:left w:val="single" w:sz="8" w:space="0" w:color="auto"/>
              <w:bottom w:val="nil"/>
              <w:right w:val="single" w:sz="8" w:space="0" w:color="auto"/>
            </w:tcBorders>
            <w:shd w:val="clear" w:color="000000" w:fill="FFFFFF"/>
          </w:tcPr>
          <w:p w:rsidR="007C15AB" w:rsidRDefault="007C15AB" w:rsidP="007D6A71">
            <w:pPr>
              <w:spacing w:after="0" w:line="240" w:lineRule="auto"/>
              <w:jc w:val="both"/>
              <w:rPr>
                <w:rFonts w:ascii="Times New Roman" w:hAnsi="Times New Roman"/>
                <w:color w:val="000000"/>
                <w:sz w:val="18"/>
                <w:szCs w:val="18"/>
              </w:rPr>
            </w:pPr>
            <w:r>
              <w:rPr>
                <w:rFonts w:ascii="Times New Roman" w:hAnsi="Times New Roman"/>
                <w:color w:val="000000"/>
                <w:sz w:val="18"/>
                <w:szCs w:val="18"/>
              </w:rPr>
              <w:t>15 Автоматизація та приладобудування</w:t>
            </w:r>
          </w:p>
          <w:p w:rsidR="007C15AB" w:rsidRDefault="007C15AB" w:rsidP="007D6A71">
            <w:pPr>
              <w:spacing w:after="0" w:line="240" w:lineRule="auto"/>
              <w:jc w:val="both"/>
              <w:rPr>
                <w:rFonts w:ascii="Times New Roman" w:hAnsi="Times New Roman"/>
                <w:color w:val="000000"/>
                <w:sz w:val="18"/>
                <w:szCs w:val="18"/>
              </w:rPr>
            </w:pPr>
            <w:r w:rsidRPr="0077050D">
              <w:rPr>
                <w:rFonts w:ascii="Times New Roman" w:hAnsi="Times New Roman"/>
                <w:color w:val="000000"/>
                <w:sz w:val="18"/>
                <w:szCs w:val="18"/>
              </w:rPr>
              <w:t xml:space="preserve">151 Автоматизація та комп’ютерно-інтегровані технології </w:t>
            </w:r>
          </w:p>
          <w:p w:rsidR="007C15AB" w:rsidRPr="0077050D" w:rsidRDefault="007C15AB" w:rsidP="007D6A71">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ОП </w:t>
            </w:r>
            <w:r>
              <w:rPr>
                <w:rFonts w:ascii="Times New Roman" w:hAnsi="Times New Roman"/>
                <w:sz w:val="18"/>
                <w:szCs w:val="18"/>
              </w:rPr>
              <w:t>Автоматизація та комп’ютерно-інтегровані технології</w:t>
            </w:r>
          </w:p>
        </w:tc>
      </w:tr>
      <w:tr w:rsidR="007C15AB" w:rsidRPr="0077050D" w:rsidTr="007C15AB">
        <w:trPr>
          <w:trHeight w:val="248"/>
        </w:trPr>
        <w:tc>
          <w:tcPr>
            <w:tcW w:w="2214" w:type="pct"/>
            <w:tcBorders>
              <w:top w:val="single" w:sz="8" w:space="0" w:color="auto"/>
              <w:left w:val="single" w:sz="8" w:space="0" w:color="auto"/>
              <w:bottom w:val="nil"/>
              <w:right w:val="nil"/>
            </w:tcBorders>
            <w:shd w:val="clear" w:color="000000" w:fill="FFFFFF"/>
            <w:vAlign w:val="center"/>
          </w:tcPr>
          <w:p w:rsidR="007C15AB" w:rsidRPr="007C15AB" w:rsidRDefault="007C15AB" w:rsidP="00791189">
            <w:pPr>
              <w:spacing w:after="0" w:line="240" w:lineRule="auto"/>
              <w:rPr>
                <w:rFonts w:ascii="Times New Roman" w:hAnsi="Times New Roman"/>
                <w:color w:val="000000"/>
                <w:sz w:val="18"/>
                <w:szCs w:val="18"/>
              </w:rPr>
            </w:pPr>
            <w:r w:rsidRPr="007C15AB">
              <w:rPr>
                <w:rFonts w:ascii="Times New Roman" w:hAnsi="Times New Roman"/>
                <w:color w:val="000000"/>
                <w:sz w:val="18"/>
                <w:szCs w:val="18"/>
              </w:rPr>
              <w:t>Кафедра</w:t>
            </w:r>
          </w:p>
        </w:tc>
        <w:tc>
          <w:tcPr>
            <w:tcW w:w="2786" w:type="pct"/>
            <w:tcBorders>
              <w:top w:val="single" w:sz="8" w:space="0" w:color="auto"/>
              <w:left w:val="single" w:sz="8" w:space="0" w:color="auto"/>
              <w:bottom w:val="nil"/>
              <w:right w:val="single" w:sz="8" w:space="0" w:color="auto"/>
            </w:tcBorders>
            <w:shd w:val="clear" w:color="000000" w:fill="FFFFFF"/>
          </w:tcPr>
          <w:p w:rsidR="007C15AB" w:rsidRPr="0077050D" w:rsidRDefault="007C15AB" w:rsidP="007D6A71">
            <w:pPr>
              <w:spacing w:after="0" w:line="240" w:lineRule="auto"/>
              <w:jc w:val="both"/>
              <w:rPr>
                <w:rFonts w:ascii="Times New Roman" w:hAnsi="Times New Roman"/>
                <w:color w:val="000000"/>
                <w:sz w:val="18"/>
                <w:szCs w:val="18"/>
              </w:rPr>
            </w:pPr>
            <w:r w:rsidRPr="0077050D">
              <w:rPr>
                <w:rFonts w:ascii="Times New Roman" w:hAnsi="Times New Roman"/>
                <w:color w:val="000000"/>
                <w:sz w:val="18"/>
                <w:szCs w:val="18"/>
              </w:rPr>
              <w:t> Радіоелектронної автоматики</w:t>
            </w:r>
          </w:p>
        </w:tc>
      </w:tr>
      <w:tr w:rsidR="007C15AB" w:rsidRPr="0077050D" w:rsidTr="007C15AB">
        <w:trPr>
          <w:trHeight w:val="197"/>
        </w:trPr>
        <w:tc>
          <w:tcPr>
            <w:tcW w:w="2214" w:type="pct"/>
            <w:tcBorders>
              <w:top w:val="single" w:sz="8" w:space="0" w:color="auto"/>
              <w:left w:val="single" w:sz="8" w:space="0" w:color="auto"/>
              <w:bottom w:val="nil"/>
              <w:right w:val="nil"/>
            </w:tcBorders>
            <w:shd w:val="clear" w:color="000000" w:fill="FFFFFF"/>
            <w:vAlign w:val="center"/>
          </w:tcPr>
          <w:p w:rsidR="007C15AB" w:rsidRPr="007C15AB" w:rsidRDefault="007C15AB" w:rsidP="00791189">
            <w:pPr>
              <w:spacing w:after="0" w:line="240" w:lineRule="auto"/>
              <w:rPr>
                <w:rFonts w:ascii="Times New Roman" w:hAnsi="Times New Roman"/>
                <w:color w:val="000000"/>
                <w:sz w:val="18"/>
                <w:szCs w:val="18"/>
              </w:rPr>
            </w:pPr>
            <w:r w:rsidRPr="007C15AB">
              <w:rPr>
                <w:rFonts w:ascii="Times New Roman" w:hAnsi="Times New Roman"/>
                <w:color w:val="000000"/>
                <w:sz w:val="18"/>
                <w:szCs w:val="18"/>
              </w:rPr>
              <w:t xml:space="preserve">П.І.П. НПП </w:t>
            </w:r>
            <w:r w:rsidRPr="007C15AB">
              <w:rPr>
                <w:rFonts w:ascii="Times New Roman" w:hAnsi="Times New Roman"/>
                <w:i/>
                <w:color w:val="000000"/>
                <w:sz w:val="18"/>
                <w:szCs w:val="18"/>
              </w:rPr>
              <w:t>(за можливості)</w:t>
            </w:r>
          </w:p>
        </w:tc>
        <w:tc>
          <w:tcPr>
            <w:tcW w:w="2786" w:type="pct"/>
            <w:tcBorders>
              <w:top w:val="single" w:sz="8" w:space="0" w:color="auto"/>
              <w:left w:val="single" w:sz="8" w:space="0" w:color="auto"/>
              <w:bottom w:val="nil"/>
              <w:right w:val="single" w:sz="8" w:space="0" w:color="auto"/>
            </w:tcBorders>
            <w:shd w:val="clear" w:color="000000" w:fill="FFFFFF"/>
          </w:tcPr>
          <w:p w:rsidR="007C15AB" w:rsidRPr="0077050D" w:rsidRDefault="007C15AB" w:rsidP="007D6A71">
            <w:pPr>
              <w:spacing w:after="0" w:line="240" w:lineRule="auto"/>
              <w:jc w:val="both"/>
              <w:rPr>
                <w:rFonts w:ascii="Times New Roman" w:hAnsi="Times New Roman"/>
                <w:color w:val="000000"/>
                <w:sz w:val="18"/>
                <w:szCs w:val="18"/>
              </w:rPr>
            </w:pPr>
            <w:r w:rsidRPr="0077050D">
              <w:rPr>
                <w:rFonts w:ascii="Times New Roman" w:hAnsi="Times New Roman"/>
                <w:color w:val="000000"/>
                <w:sz w:val="18"/>
                <w:szCs w:val="18"/>
              </w:rPr>
              <w:t>Петренко Олександр Миколайович</w:t>
            </w:r>
          </w:p>
        </w:tc>
      </w:tr>
      <w:tr w:rsidR="007C15AB" w:rsidRPr="0077050D" w:rsidTr="007C15AB">
        <w:trPr>
          <w:trHeight w:val="317"/>
        </w:trPr>
        <w:tc>
          <w:tcPr>
            <w:tcW w:w="2214" w:type="pct"/>
            <w:tcBorders>
              <w:top w:val="single" w:sz="8" w:space="0" w:color="auto"/>
              <w:left w:val="single" w:sz="8" w:space="0" w:color="auto"/>
              <w:bottom w:val="nil"/>
              <w:right w:val="nil"/>
            </w:tcBorders>
            <w:shd w:val="clear" w:color="000000" w:fill="FFFFFF"/>
            <w:vAlign w:val="center"/>
          </w:tcPr>
          <w:p w:rsidR="007C15AB" w:rsidRPr="007C15AB" w:rsidRDefault="007C15AB" w:rsidP="00791189">
            <w:pPr>
              <w:spacing w:after="0" w:line="240" w:lineRule="auto"/>
              <w:rPr>
                <w:rFonts w:ascii="Times New Roman" w:hAnsi="Times New Roman"/>
                <w:color w:val="000000"/>
                <w:sz w:val="18"/>
                <w:szCs w:val="18"/>
              </w:rPr>
            </w:pPr>
            <w:r w:rsidRPr="007C15AB">
              <w:rPr>
                <w:rFonts w:ascii="Times New Roman" w:hAnsi="Times New Roman"/>
                <w:color w:val="000000"/>
                <w:sz w:val="18"/>
                <w:szCs w:val="18"/>
              </w:rPr>
              <w:t>Рівень ВО</w:t>
            </w:r>
          </w:p>
        </w:tc>
        <w:tc>
          <w:tcPr>
            <w:tcW w:w="2786" w:type="pct"/>
            <w:tcBorders>
              <w:top w:val="single" w:sz="8" w:space="0" w:color="auto"/>
              <w:left w:val="single" w:sz="8" w:space="0" w:color="auto"/>
              <w:bottom w:val="nil"/>
              <w:right w:val="single" w:sz="8" w:space="0" w:color="auto"/>
            </w:tcBorders>
            <w:shd w:val="clear" w:color="000000" w:fill="FFFFFF"/>
          </w:tcPr>
          <w:p w:rsidR="007C15AB" w:rsidRPr="0077050D" w:rsidRDefault="007C15AB" w:rsidP="007D6A71">
            <w:pPr>
              <w:spacing w:after="0" w:line="240" w:lineRule="auto"/>
              <w:jc w:val="both"/>
              <w:rPr>
                <w:rFonts w:ascii="Times New Roman" w:hAnsi="Times New Roman"/>
                <w:color w:val="000000"/>
                <w:sz w:val="18"/>
                <w:szCs w:val="18"/>
              </w:rPr>
            </w:pPr>
            <w:r w:rsidRPr="0077050D">
              <w:rPr>
                <w:rFonts w:ascii="Times New Roman" w:hAnsi="Times New Roman"/>
                <w:color w:val="000000"/>
                <w:sz w:val="18"/>
                <w:szCs w:val="18"/>
              </w:rPr>
              <w:t>Третій (</w:t>
            </w:r>
            <w:r w:rsidRPr="0077050D">
              <w:rPr>
                <w:rFonts w:ascii="Times New Roman" w:hAnsi="Times New Roman"/>
                <w:color w:val="000000"/>
                <w:sz w:val="18"/>
                <w:szCs w:val="18"/>
                <w:lang w:val="en-US"/>
              </w:rPr>
              <w:t>PhD</w:t>
            </w:r>
            <w:r w:rsidRPr="0077050D">
              <w:rPr>
                <w:rFonts w:ascii="Times New Roman" w:hAnsi="Times New Roman"/>
                <w:color w:val="000000"/>
                <w:sz w:val="18"/>
                <w:szCs w:val="18"/>
              </w:rPr>
              <w:t>, доктор філософії) рівень вищої освіти</w:t>
            </w:r>
          </w:p>
        </w:tc>
      </w:tr>
      <w:tr w:rsidR="007C15AB" w:rsidRPr="0077050D" w:rsidTr="007C15AB">
        <w:trPr>
          <w:trHeight w:val="197"/>
        </w:trPr>
        <w:tc>
          <w:tcPr>
            <w:tcW w:w="2214" w:type="pct"/>
            <w:tcBorders>
              <w:top w:val="single" w:sz="8" w:space="0" w:color="auto"/>
              <w:left w:val="single" w:sz="8" w:space="0" w:color="auto"/>
              <w:bottom w:val="nil"/>
              <w:right w:val="nil"/>
            </w:tcBorders>
            <w:shd w:val="clear" w:color="000000" w:fill="FFFFFF"/>
            <w:vAlign w:val="center"/>
          </w:tcPr>
          <w:p w:rsidR="007C15AB" w:rsidRPr="007C15AB" w:rsidRDefault="007C15AB" w:rsidP="00791189">
            <w:pPr>
              <w:spacing w:after="0" w:line="240" w:lineRule="auto"/>
              <w:rPr>
                <w:rFonts w:ascii="Times New Roman" w:hAnsi="Times New Roman"/>
                <w:color w:val="000000"/>
                <w:sz w:val="18"/>
                <w:szCs w:val="18"/>
              </w:rPr>
            </w:pPr>
            <w:r w:rsidRPr="007C15AB">
              <w:rPr>
                <w:rFonts w:ascii="Times New Roman" w:hAnsi="Times New Roman"/>
                <w:color w:val="000000"/>
                <w:sz w:val="18"/>
                <w:szCs w:val="18"/>
              </w:rPr>
              <w:t xml:space="preserve">Курс, семестр </w:t>
            </w:r>
            <w:r w:rsidRPr="007C15AB">
              <w:rPr>
                <w:rFonts w:ascii="Times New Roman" w:hAnsi="Times New Roman"/>
                <w:i/>
                <w:color w:val="000000"/>
                <w:sz w:val="18"/>
                <w:szCs w:val="18"/>
              </w:rPr>
              <w:t>(в якому буде викладатись)</w:t>
            </w:r>
          </w:p>
        </w:tc>
        <w:tc>
          <w:tcPr>
            <w:tcW w:w="2786" w:type="pct"/>
            <w:tcBorders>
              <w:top w:val="single" w:sz="8" w:space="0" w:color="auto"/>
              <w:left w:val="single" w:sz="8" w:space="0" w:color="auto"/>
              <w:bottom w:val="nil"/>
              <w:right w:val="single" w:sz="8" w:space="0" w:color="auto"/>
            </w:tcBorders>
            <w:shd w:val="clear" w:color="000000" w:fill="FFFFFF"/>
          </w:tcPr>
          <w:p w:rsidR="007C15AB" w:rsidRPr="0077050D" w:rsidRDefault="007C15AB" w:rsidP="007D6A71">
            <w:pPr>
              <w:spacing w:after="0" w:line="240" w:lineRule="auto"/>
              <w:jc w:val="both"/>
              <w:rPr>
                <w:rFonts w:ascii="Times New Roman" w:hAnsi="Times New Roman"/>
                <w:color w:val="000000"/>
                <w:sz w:val="18"/>
                <w:szCs w:val="18"/>
              </w:rPr>
            </w:pPr>
            <w:r w:rsidRPr="0077050D">
              <w:rPr>
                <w:rFonts w:ascii="Times New Roman" w:hAnsi="Times New Roman"/>
                <w:color w:val="000000"/>
                <w:sz w:val="18"/>
                <w:szCs w:val="18"/>
              </w:rPr>
              <w:t>Другий</w:t>
            </w:r>
          </w:p>
        </w:tc>
      </w:tr>
      <w:tr w:rsidR="007C15AB" w:rsidRPr="0077050D" w:rsidTr="007C15AB">
        <w:trPr>
          <w:trHeight w:val="303"/>
        </w:trPr>
        <w:tc>
          <w:tcPr>
            <w:tcW w:w="2214" w:type="pct"/>
            <w:tcBorders>
              <w:top w:val="single" w:sz="8" w:space="0" w:color="auto"/>
              <w:left w:val="single" w:sz="8" w:space="0" w:color="auto"/>
              <w:bottom w:val="nil"/>
              <w:right w:val="nil"/>
            </w:tcBorders>
            <w:shd w:val="clear" w:color="000000" w:fill="FFFFFF"/>
            <w:vAlign w:val="center"/>
          </w:tcPr>
          <w:p w:rsidR="007C15AB" w:rsidRPr="007C15AB" w:rsidRDefault="007C15AB" w:rsidP="00791189">
            <w:pPr>
              <w:spacing w:after="0" w:line="240" w:lineRule="auto"/>
              <w:rPr>
                <w:rFonts w:ascii="Times New Roman" w:hAnsi="Times New Roman"/>
                <w:color w:val="000000"/>
                <w:sz w:val="18"/>
                <w:szCs w:val="18"/>
              </w:rPr>
            </w:pPr>
            <w:r w:rsidRPr="007C15AB">
              <w:rPr>
                <w:rFonts w:ascii="Times New Roman" w:hAnsi="Times New Roman"/>
                <w:color w:val="000000"/>
                <w:sz w:val="18"/>
                <w:szCs w:val="18"/>
              </w:rPr>
              <w:t>Мова викладання</w:t>
            </w:r>
          </w:p>
        </w:tc>
        <w:tc>
          <w:tcPr>
            <w:tcW w:w="2786" w:type="pct"/>
            <w:tcBorders>
              <w:top w:val="single" w:sz="8" w:space="0" w:color="auto"/>
              <w:left w:val="single" w:sz="8" w:space="0" w:color="auto"/>
              <w:bottom w:val="nil"/>
              <w:right w:val="single" w:sz="8" w:space="0" w:color="auto"/>
            </w:tcBorders>
            <w:shd w:val="clear" w:color="000000" w:fill="FFFFFF"/>
          </w:tcPr>
          <w:p w:rsidR="007C15AB" w:rsidRPr="0077050D" w:rsidRDefault="007C15AB" w:rsidP="007D6A71">
            <w:pPr>
              <w:spacing w:after="0" w:line="240" w:lineRule="auto"/>
              <w:jc w:val="both"/>
              <w:rPr>
                <w:rFonts w:ascii="Times New Roman" w:hAnsi="Times New Roman"/>
                <w:color w:val="000000"/>
                <w:sz w:val="18"/>
                <w:szCs w:val="18"/>
              </w:rPr>
            </w:pPr>
            <w:r w:rsidRPr="0077050D">
              <w:rPr>
                <w:rFonts w:ascii="Times New Roman" w:hAnsi="Times New Roman"/>
                <w:color w:val="000000"/>
                <w:sz w:val="18"/>
                <w:szCs w:val="18"/>
              </w:rPr>
              <w:t>Українська, англійська</w:t>
            </w:r>
          </w:p>
        </w:tc>
      </w:tr>
      <w:tr w:rsidR="007C15AB" w:rsidRPr="0077050D" w:rsidTr="007C15AB">
        <w:trPr>
          <w:trHeight w:val="339"/>
        </w:trPr>
        <w:tc>
          <w:tcPr>
            <w:tcW w:w="2214" w:type="pct"/>
            <w:tcBorders>
              <w:top w:val="single" w:sz="8" w:space="0" w:color="auto"/>
              <w:left w:val="single" w:sz="8" w:space="0" w:color="auto"/>
              <w:bottom w:val="nil"/>
              <w:right w:val="nil"/>
            </w:tcBorders>
            <w:shd w:val="clear" w:color="000000" w:fill="FFFFFF"/>
            <w:vAlign w:val="center"/>
          </w:tcPr>
          <w:p w:rsidR="007C15AB" w:rsidRPr="007C15AB" w:rsidRDefault="007C15AB" w:rsidP="00791189">
            <w:pPr>
              <w:spacing w:after="0" w:line="240" w:lineRule="auto"/>
              <w:rPr>
                <w:rFonts w:ascii="Times New Roman" w:hAnsi="Times New Roman"/>
                <w:color w:val="000000"/>
                <w:sz w:val="18"/>
                <w:szCs w:val="18"/>
                <w:vertAlign w:val="superscript"/>
              </w:rPr>
            </w:pPr>
            <w:proofErr w:type="spellStart"/>
            <w:r w:rsidRPr="007C15AB">
              <w:rPr>
                <w:rFonts w:ascii="Times New Roman" w:hAnsi="Times New Roman"/>
                <w:color w:val="000000"/>
                <w:sz w:val="18"/>
                <w:szCs w:val="18"/>
              </w:rPr>
              <w:t>Пререквізити</w:t>
            </w:r>
            <w:proofErr w:type="spellEnd"/>
            <w:r w:rsidRPr="007C15AB">
              <w:rPr>
                <w:rFonts w:ascii="Times New Roman" w:hAnsi="Times New Roman"/>
                <w:color w:val="000000"/>
                <w:sz w:val="18"/>
                <w:szCs w:val="18"/>
              </w:rPr>
              <w:t xml:space="preserve"> (передумови вивчення дисципліни) </w:t>
            </w:r>
            <w:r w:rsidRPr="007C15AB">
              <w:rPr>
                <w:rFonts w:ascii="Times New Roman" w:hAnsi="Times New Roman"/>
                <w:b/>
                <w:color w:val="0033CC"/>
                <w:sz w:val="18"/>
                <w:szCs w:val="18"/>
                <w:vertAlign w:val="superscript"/>
              </w:rPr>
              <w:t>1</w:t>
            </w:r>
          </w:p>
        </w:tc>
        <w:tc>
          <w:tcPr>
            <w:tcW w:w="2786" w:type="pct"/>
            <w:tcBorders>
              <w:top w:val="single" w:sz="8" w:space="0" w:color="auto"/>
              <w:left w:val="single" w:sz="8" w:space="0" w:color="auto"/>
              <w:bottom w:val="nil"/>
              <w:right w:val="single" w:sz="8" w:space="0" w:color="auto"/>
            </w:tcBorders>
            <w:shd w:val="clear" w:color="000000" w:fill="FFFFFF"/>
          </w:tcPr>
          <w:p w:rsidR="007C15AB" w:rsidRPr="0077050D" w:rsidRDefault="007C15AB" w:rsidP="007D6A71">
            <w:pPr>
              <w:spacing w:after="0" w:line="240" w:lineRule="auto"/>
              <w:jc w:val="both"/>
              <w:rPr>
                <w:rFonts w:ascii="Times New Roman" w:hAnsi="Times New Roman"/>
                <w:i/>
                <w:iCs/>
                <w:color w:val="000000"/>
                <w:sz w:val="18"/>
                <w:szCs w:val="18"/>
                <w:highlight w:val="yellow"/>
              </w:rPr>
            </w:pPr>
            <w:r w:rsidRPr="0077050D">
              <w:rPr>
                <w:rFonts w:ascii="Times New Roman" w:hAnsi="Times New Roman"/>
                <w:i/>
                <w:iCs/>
                <w:color w:val="000000"/>
                <w:sz w:val="18"/>
                <w:szCs w:val="18"/>
              </w:rPr>
              <w:t>Теорія автоматичного управління (базовий курс)</w:t>
            </w:r>
          </w:p>
        </w:tc>
      </w:tr>
      <w:tr w:rsidR="007C15AB" w:rsidRPr="0077050D" w:rsidTr="007C15AB">
        <w:trPr>
          <w:trHeight w:val="644"/>
        </w:trPr>
        <w:tc>
          <w:tcPr>
            <w:tcW w:w="2214" w:type="pct"/>
            <w:tcBorders>
              <w:top w:val="single" w:sz="8" w:space="0" w:color="auto"/>
              <w:left w:val="single" w:sz="8" w:space="0" w:color="auto"/>
              <w:bottom w:val="nil"/>
              <w:right w:val="nil"/>
            </w:tcBorders>
            <w:shd w:val="clear" w:color="000000" w:fill="FFFFFF"/>
            <w:vAlign w:val="center"/>
          </w:tcPr>
          <w:p w:rsidR="007C15AB" w:rsidRPr="007C15AB" w:rsidRDefault="007C15AB" w:rsidP="00791189">
            <w:pPr>
              <w:spacing w:after="0" w:line="240" w:lineRule="auto"/>
              <w:rPr>
                <w:rFonts w:ascii="Times New Roman" w:hAnsi="Times New Roman"/>
                <w:color w:val="000000"/>
                <w:sz w:val="18"/>
                <w:szCs w:val="18"/>
              </w:rPr>
            </w:pPr>
            <w:r w:rsidRPr="007C15AB">
              <w:rPr>
                <w:rFonts w:ascii="Times New Roman" w:hAnsi="Times New Roman"/>
                <w:color w:val="000000"/>
                <w:sz w:val="18"/>
                <w:szCs w:val="18"/>
              </w:rPr>
              <w:t>Що буде вивчатися</w:t>
            </w:r>
          </w:p>
        </w:tc>
        <w:tc>
          <w:tcPr>
            <w:tcW w:w="2786" w:type="pct"/>
            <w:tcBorders>
              <w:top w:val="single" w:sz="8" w:space="0" w:color="auto"/>
              <w:left w:val="single" w:sz="8" w:space="0" w:color="auto"/>
              <w:bottom w:val="nil"/>
              <w:right w:val="single" w:sz="8" w:space="0" w:color="auto"/>
            </w:tcBorders>
            <w:shd w:val="clear" w:color="000000" w:fill="FFFFFF"/>
          </w:tcPr>
          <w:p w:rsidR="007C15AB" w:rsidRPr="0077050D" w:rsidRDefault="007C15AB" w:rsidP="007D6A71">
            <w:pPr>
              <w:pStyle w:val="Default"/>
              <w:ind w:firstLine="1"/>
              <w:jc w:val="both"/>
              <w:rPr>
                <w:rFonts w:ascii="Times New Roman" w:hAnsi="Times New Roman" w:cs="Times New Roman"/>
                <w:iCs/>
                <w:color w:val="auto"/>
                <w:sz w:val="18"/>
                <w:szCs w:val="18"/>
                <w:highlight w:val="yellow"/>
                <w:lang w:val="uk-UA"/>
              </w:rPr>
            </w:pPr>
            <w:r w:rsidRPr="0077050D">
              <w:rPr>
                <w:rFonts w:ascii="Times New Roman" w:hAnsi="Times New Roman" w:cs="Times New Roman"/>
                <w:iCs/>
                <w:color w:val="auto"/>
                <w:sz w:val="18"/>
                <w:szCs w:val="18"/>
                <w:lang w:val="uk-UA"/>
              </w:rPr>
              <w:t>Принципи побудови та математичні моделі спостерігаючих пристроїв, які дають змогу отримати оцінку вектору стану технічних систем та технологічних процесів. Розглядаються умови, при яких похибка оцінювання вектору стану системи прагне до нуля. Приводяться рекомендації щодо використання оцінки вектору стану системи в законі управління замкненої системи. Даються рекомендації щодо вибору параметрів спостерігаючого пристрію. Розглядаються питання щодо вирішення задачі модального управління та задачі аналітичного конструювання оптимальних регуляторів з використанням оцінки вектору стану системи.</w:t>
            </w:r>
          </w:p>
        </w:tc>
      </w:tr>
      <w:tr w:rsidR="007C15AB" w:rsidRPr="0077050D" w:rsidTr="007C15AB">
        <w:trPr>
          <w:trHeight w:val="644"/>
        </w:trPr>
        <w:tc>
          <w:tcPr>
            <w:tcW w:w="2214" w:type="pct"/>
            <w:tcBorders>
              <w:top w:val="single" w:sz="8" w:space="0" w:color="auto"/>
              <w:left w:val="single" w:sz="8" w:space="0" w:color="auto"/>
              <w:bottom w:val="nil"/>
              <w:right w:val="nil"/>
            </w:tcBorders>
            <w:shd w:val="clear" w:color="000000" w:fill="FFFFFF"/>
            <w:vAlign w:val="center"/>
          </w:tcPr>
          <w:p w:rsidR="007C15AB" w:rsidRPr="007C15AB" w:rsidRDefault="007C15AB" w:rsidP="00791189">
            <w:pPr>
              <w:spacing w:after="0" w:line="240" w:lineRule="auto"/>
              <w:rPr>
                <w:rFonts w:ascii="Times New Roman" w:hAnsi="Times New Roman"/>
                <w:color w:val="000000"/>
                <w:sz w:val="18"/>
                <w:szCs w:val="18"/>
              </w:rPr>
            </w:pPr>
            <w:r w:rsidRPr="007C15AB">
              <w:rPr>
                <w:rFonts w:ascii="Times New Roman" w:hAnsi="Times New Roman"/>
                <w:color w:val="000000"/>
                <w:sz w:val="18"/>
                <w:szCs w:val="18"/>
              </w:rPr>
              <w:t>Чому це цікаво/треба вивчати</w:t>
            </w:r>
          </w:p>
        </w:tc>
        <w:tc>
          <w:tcPr>
            <w:tcW w:w="2786" w:type="pct"/>
            <w:tcBorders>
              <w:top w:val="single" w:sz="8" w:space="0" w:color="auto"/>
              <w:left w:val="single" w:sz="8" w:space="0" w:color="auto"/>
              <w:bottom w:val="nil"/>
              <w:right w:val="single" w:sz="8" w:space="0" w:color="auto"/>
            </w:tcBorders>
            <w:shd w:val="clear" w:color="000000" w:fill="FFFFFF"/>
          </w:tcPr>
          <w:p w:rsidR="007C15AB" w:rsidRPr="0077050D" w:rsidRDefault="007C15AB" w:rsidP="007D6A71">
            <w:pPr>
              <w:pStyle w:val="a3"/>
              <w:shd w:val="clear" w:color="auto" w:fill="FFFFFF"/>
              <w:spacing w:before="0" w:beforeAutospacing="0" w:after="0" w:afterAutospacing="0"/>
              <w:jc w:val="both"/>
              <w:rPr>
                <w:sz w:val="18"/>
                <w:szCs w:val="18"/>
                <w:lang w:val="uk-UA"/>
              </w:rPr>
            </w:pPr>
            <w:r w:rsidRPr="0077050D">
              <w:rPr>
                <w:sz w:val="18"/>
                <w:szCs w:val="18"/>
                <w:lang w:val="uk-UA"/>
              </w:rPr>
              <w:t xml:space="preserve">Вивчення математичних моделей </w:t>
            </w:r>
            <w:proofErr w:type="spellStart"/>
            <w:r w:rsidRPr="0077050D">
              <w:rPr>
                <w:sz w:val="18"/>
                <w:szCs w:val="18"/>
                <w:lang w:val="uk-UA"/>
              </w:rPr>
              <w:t>спостерігаючих</w:t>
            </w:r>
            <w:proofErr w:type="spellEnd"/>
            <w:r w:rsidRPr="0077050D">
              <w:rPr>
                <w:sz w:val="18"/>
                <w:szCs w:val="18"/>
                <w:lang w:val="uk-UA"/>
              </w:rPr>
              <w:t xml:space="preserve"> пристроїв, які дають змогу отримати оцінку вектору стану системи, дають змогу використовувати отриману оцінку вектору стану системи в законах управління. Оцінки вектору стану системи дають змогу вирішувати задачі модального управління та аналітичного конструювання оптимальних регуляторів. </w:t>
            </w:r>
          </w:p>
        </w:tc>
      </w:tr>
      <w:tr w:rsidR="007C15AB" w:rsidRPr="0077050D" w:rsidTr="007C15AB">
        <w:trPr>
          <w:trHeight w:val="644"/>
        </w:trPr>
        <w:tc>
          <w:tcPr>
            <w:tcW w:w="2214" w:type="pct"/>
            <w:tcBorders>
              <w:top w:val="single" w:sz="8" w:space="0" w:color="auto"/>
              <w:left w:val="single" w:sz="8" w:space="0" w:color="auto"/>
              <w:bottom w:val="nil"/>
              <w:right w:val="nil"/>
            </w:tcBorders>
            <w:shd w:val="clear" w:color="000000" w:fill="FFFFFF"/>
            <w:vAlign w:val="center"/>
          </w:tcPr>
          <w:p w:rsidR="007C15AB" w:rsidRPr="007C15AB" w:rsidRDefault="007C15AB" w:rsidP="00791189">
            <w:pPr>
              <w:spacing w:after="0" w:line="240" w:lineRule="auto"/>
              <w:rPr>
                <w:rFonts w:ascii="Times New Roman" w:hAnsi="Times New Roman"/>
                <w:color w:val="000000"/>
                <w:sz w:val="18"/>
                <w:szCs w:val="18"/>
              </w:rPr>
            </w:pPr>
            <w:r w:rsidRPr="007C15AB">
              <w:rPr>
                <w:rFonts w:ascii="Times New Roman" w:hAnsi="Times New Roman"/>
                <w:color w:val="000000"/>
                <w:sz w:val="18"/>
                <w:szCs w:val="18"/>
              </w:rPr>
              <w:t xml:space="preserve">Чого можна навчитися </w:t>
            </w:r>
            <w:r w:rsidRPr="007C15AB">
              <w:rPr>
                <w:rFonts w:ascii="Times New Roman" w:hAnsi="Times New Roman"/>
                <w:i/>
                <w:color w:val="000000"/>
                <w:sz w:val="18"/>
                <w:szCs w:val="18"/>
              </w:rPr>
              <w:t>(результати навчання)</w:t>
            </w:r>
          </w:p>
        </w:tc>
        <w:tc>
          <w:tcPr>
            <w:tcW w:w="2786" w:type="pct"/>
            <w:tcBorders>
              <w:top w:val="single" w:sz="8" w:space="0" w:color="auto"/>
              <w:left w:val="single" w:sz="8" w:space="0" w:color="auto"/>
              <w:bottom w:val="nil"/>
              <w:right w:val="single" w:sz="8" w:space="0" w:color="auto"/>
            </w:tcBorders>
            <w:shd w:val="clear" w:color="000000" w:fill="FFFFFF"/>
          </w:tcPr>
          <w:p w:rsidR="007C15AB" w:rsidRPr="0077050D" w:rsidRDefault="007C15AB" w:rsidP="007D6A71">
            <w:pPr>
              <w:pStyle w:val="Default"/>
              <w:jc w:val="both"/>
              <w:rPr>
                <w:rFonts w:ascii="Times New Roman" w:hAnsi="Times New Roman" w:cs="Times New Roman"/>
                <w:color w:val="auto"/>
                <w:sz w:val="18"/>
                <w:szCs w:val="18"/>
                <w:lang w:val="uk-UA"/>
              </w:rPr>
            </w:pPr>
            <w:r w:rsidRPr="0077050D">
              <w:rPr>
                <w:rFonts w:ascii="Times New Roman" w:hAnsi="Times New Roman" w:cs="Times New Roman"/>
                <w:color w:val="auto"/>
                <w:sz w:val="18"/>
                <w:szCs w:val="18"/>
                <w:lang w:val="uk-UA"/>
              </w:rPr>
              <w:t>На основі вивчення принципів побудови і математичних моделей спостерігаючих пристроїв можна навчитися розробляти спостерігаючі пристрої, які входять до складу системи автоматичного управління.  Спостерігаючі пристрої дають змогу отримати не тільки оцінку вектору станів системи, але й оцінку діючих на систему випадкових перешкод.</w:t>
            </w:r>
            <w:r w:rsidRPr="0077050D">
              <w:rPr>
                <w:rFonts w:ascii="Times New Roman" w:hAnsi="Times New Roman" w:cs="Times New Roman"/>
                <w:sz w:val="18"/>
                <w:szCs w:val="18"/>
                <w:lang w:val="uk-UA"/>
              </w:rPr>
              <w:t xml:space="preserve"> На основі знання математичних моделей спостерігаючих пристроїв можна синтезувати замкнені системи автоматичного управління, вектор стану яких не доступний до безпосереднього вимірювання.</w:t>
            </w:r>
          </w:p>
        </w:tc>
      </w:tr>
      <w:tr w:rsidR="007C15AB" w:rsidRPr="0077050D" w:rsidTr="007C15AB">
        <w:trPr>
          <w:trHeight w:val="644"/>
        </w:trPr>
        <w:tc>
          <w:tcPr>
            <w:tcW w:w="2214" w:type="pct"/>
            <w:tcBorders>
              <w:top w:val="single" w:sz="8" w:space="0" w:color="auto"/>
              <w:left w:val="single" w:sz="8" w:space="0" w:color="auto"/>
              <w:bottom w:val="nil"/>
              <w:right w:val="nil"/>
            </w:tcBorders>
            <w:shd w:val="clear" w:color="000000" w:fill="FFFFFF"/>
            <w:vAlign w:val="center"/>
          </w:tcPr>
          <w:p w:rsidR="007C15AB" w:rsidRPr="007C15AB" w:rsidRDefault="007C15AB" w:rsidP="00791189">
            <w:pPr>
              <w:spacing w:after="0" w:line="240" w:lineRule="auto"/>
              <w:rPr>
                <w:rFonts w:ascii="Times New Roman" w:hAnsi="Times New Roman"/>
                <w:color w:val="000000"/>
                <w:sz w:val="18"/>
                <w:szCs w:val="18"/>
              </w:rPr>
            </w:pPr>
            <w:r w:rsidRPr="007C15AB">
              <w:rPr>
                <w:rFonts w:ascii="Times New Roman" w:hAnsi="Times New Roman"/>
                <w:color w:val="000000"/>
                <w:sz w:val="18"/>
                <w:szCs w:val="18"/>
              </w:rPr>
              <w:t xml:space="preserve">Як можна користуватися набутими знаннями і уміннями </w:t>
            </w:r>
            <w:r w:rsidRPr="007C15AB">
              <w:rPr>
                <w:rFonts w:ascii="Times New Roman" w:hAnsi="Times New Roman"/>
                <w:i/>
                <w:color w:val="000000"/>
                <w:sz w:val="18"/>
                <w:szCs w:val="18"/>
              </w:rPr>
              <w:t>(компетентності)</w:t>
            </w:r>
          </w:p>
        </w:tc>
        <w:tc>
          <w:tcPr>
            <w:tcW w:w="2786" w:type="pct"/>
            <w:tcBorders>
              <w:top w:val="single" w:sz="8" w:space="0" w:color="auto"/>
              <w:left w:val="single" w:sz="8" w:space="0" w:color="auto"/>
              <w:bottom w:val="nil"/>
              <w:right w:val="single" w:sz="8" w:space="0" w:color="auto"/>
            </w:tcBorders>
            <w:shd w:val="clear" w:color="000000" w:fill="FFFFFF"/>
            <w:vAlign w:val="center"/>
          </w:tcPr>
          <w:p w:rsidR="007C15AB" w:rsidRPr="00405076" w:rsidRDefault="007C15AB" w:rsidP="007907E6">
            <w:pPr>
              <w:pStyle w:val="paragraph"/>
              <w:spacing w:before="0" w:beforeAutospacing="0" w:after="0" w:afterAutospacing="0"/>
              <w:jc w:val="both"/>
              <w:textAlignment w:val="baseline"/>
              <w:rPr>
                <w:rFonts w:ascii="Segoe UI" w:hAnsi="Segoe UI" w:cs="Segoe UI"/>
                <w:sz w:val="18"/>
                <w:szCs w:val="18"/>
              </w:rPr>
            </w:pPr>
            <w:r w:rsidRPr="00405076">
              <w:rPr>
                <w:rStyle w:val="normaltextrun"/>
                <w:sz w:val="18"/>
                <w:szCs w:val="18"/>
                <w:lang w:val="uk-UA"/>
              </w:rPr>
              <w:t>ПР4. Здатність застосовувати знання і розуміння для розв’язування задач синтезу та аналізу елементів та систем, характерних обраній області наукових досліджень.</w:t>
            </w:r>
            <w:r w:rsidRPr="00405076">
              <w:rPr>
                <w:rStyle w:val="eop"/>
                <w:sz w:val="18"/>
                <w:szCs w:val="18"/>
              </w:rPr>
              <w:t> </w:t>
            </w:r>
          </w:p>
          <w:p w:rsidR="007C15AB" w:rsidRPr="00405076" w:rsidRDefault="007C15AB" w:rsidP="007907E6">
            <w:pPr>
              <w:pStyle w:val="paragraph"/>
              <w:spacing w:before="0" w:beforeAutospacing="0" w:after="0" w:afterAutospacing="0"/>
              <w:jc w:val="both"/>
              <w:textAlignment w:val="baseline"/>
              <w:rPr>
                <w:rFonts w:ascii="Segoe UI" w:hAnsi="Segoe UI" w:cs="Segoe UI"/>
                <w:sz w:val="18"/>
                <w:szCs w:val="18"/>
              </w:rPr>
            </w:pPr>
            <w:r w:rsidRPr="00405076">
              <w:rPr>
                <w:rStyle w:val="normaltextrun"/>
                <w:sz w:val="18"/>
                <w:szCs w:val="18"/>
                <w:lang w:val="uk-UA"/>
              </w:rPr>
              <w:t>ПР5. Вміти досліджувати і моделювати явища та процеси в складних системах автоматичного управління технологічними процесами.</w:t>
            </w:r>
            <w:r w:rsidRPr="00405076">
              <w:rPr>
                <w:rStyle w:val="eop"/>
                <w:sz w:val="18"/>
                <w:szCs w:val="18"/>
              </w:rPr>
              <w:t> </w:t>
            </w:r>
          </w:p>
          <w:p w:rsidR="007C15AB" w:rsidRPr="0077050D" w:rsidRDefault="007C15AB" w:rsidP="007907E6">
            <w:pPr>
              <w:pStyle w:val="Default"/>
              <w:rPr>
                <w:rFonts w:ascii="Times New Roman" w:hAnsi="Times New Roman" w:cs="Times New Roman"/>
                <w:sz w:val="18"/>
                <w:szCs w:val="18"/>
                <w:lang w:val="uk-UA"/>
              </w:rPr>
            </w:pPr>
            <w:r w:rsidRPr="00405076">
              <w:rPr>
                <w:rStyle w:val="normaltextrun"/>
                <w:sz w:val="18"/>
                <w:szCs w:val="18"/>
                <w:lang w:val="uk-UA"/>
              </w:rPr>
              <w:t>ПР6. Вміти застосовувати системний підхід, інтегруючи знання з інших дисциплін та враховуючи нетехнічні аспекти, підчас розв’язування теоретичних та прикладних задач обраної області наукових досліджень.</w:t>
            </w:r>
            <w:r w:rsidRPr="007907E6">
              <w:rPr>
                <w:rStyle w:val="eop"/>
                <w:sz w:val="18"/>
                <w:szCs w:val="18"/>
                <w:lang/>
              </w:rPr>
              <w:t> </w:t>
            </w:r>
          </w:p>
        </w:tc>
      </w:tr>
      <w:tr w:rsidR="007C15AB" w:rsidRPr="0077050D" w:rsidTr="007C15AB">
        <w:trPr>
          <w:trHeight w:val="644"/>
        </w:trPr>
        <w:tc>
          <w:tcPr>
            <w:tcW w:w="2214" w:type="pct"/>
            <w:tcBorders>
              <w:top w:val="single" w:sz="8" w:space="0" w:color="auto"/>
              <w:left w:val="single" w:sz="8" w:space="0" w:color="auto"/>
              <w:bottom w:val="nil"/>
              <w:right w:val="nil"/>
            </w:tcBorders>
            <w:shd w:val="clear" w:color="000000" w:fill="FFFFFF"/>
            <w:vAlign w:val="center"/>
          </w:tcPr>
          <w:p w:rsidR="007C15AB" w:rsidRPr="007C15AB" w:rsidRDefault="007C15AB" w:rsidP="00791189">
            <w:pPr>
              <w:spacing w:after="0" w:line="240" w:lineRule="auto"/>
              <w:rPr>
                <w:rFonts w:ascii="Times New Roman" w:hAnsi="Times New Roman"/>
                <w:color w:val="000000"/>
                <w:sz w:val="18"/>
                <w:szCs w:val="18"/>
              </w:rPr>
            </w:pPr>
            <w:r w:rsidRPr="007C15AB">
              <w:rPr>
                <w:rFonts w:ascii="Times New Roman" w:hAnsi="Times New Roman"/>
                <w:color w:val="000000"/>
                <w:sz w:val="18"/>
                <w:szCs w:val="18"/>
              </w:rPr>
              <w:t>Інформаційне забезпечення</w:t>
            </w:r>
          </w:p>
        </w:tc>
        <w:tc>
          <w:tcPr>
            <w:tcW w:w="2786" w:type="pct"/>
            <w:tcBorders>
              <w:top w:val="single" w:sz="8" w:space="0" w:color="auto"/>
              <w:left w:val="single" w:sz="8" w:space="0" w:color="auto"/>
              <w:bottom w:val="nil"/>
              <w:right w:val="single" w:sz="8" w:space="0" w:color="auto"/>
            </w:tcBorders>
            <w:shd w:val="clear" w:color="000000" w:fill="FFFFFF"/>
            <w:vAlign w:val="center"/>
          </w:tcPr>
          <w:p w:rsidR="007C15AB" w:rsidRPr="00405076" w:rsidRDefault="007C15AB" w:rsidP="007907E6">
            <w:pPr>
              <w:pStyle w:val="paragraph"/>
              <w:spacing w:before="0" w:beforeAutospacing="0" w:after="0" w:afterAutospacing="0"/>
              <w:jc w:val="both"/>
              <w:textAlignment w:val="baseline"/>
              <w:rPr>
                <w:sz w:val="18"/>
                <w:szCs w:val="18"/>
              </w:rPr>
            </w:pPr>
            <w:r w:rsidRPr="00405076">
              <w:rPr>
                <w:rStyle w:val="normaltextrun"/>
                <w:sz w:val="18"/>
                <w:szCs w:val="18"/>
                <w:lang w:val="ru-RU"/>
              </w:rPr>
              <w:t>ФК</w:t>
            </w:r>
            <w:r w:rsidRPr="00405076">
              <w:rPr>
                <w:rStyle w:val="normaltextrun"/>
                <w:sz w:val="18"/>
                <w:szCs w:val="18"/>
                <w:lang w:val="uk-UA"/>
              </w:rPr>
              <w:t>.1. Здатність продемонструвати знання про сучасний стан наукових досягнень в галузі автоматизації та комп’ютерно-інтегрованих технологій, а також у суміжних галузях.</w:t>
            </w:r>
            <w:r w:rsidRPr="00405076">
              <w:rPr>
                <w:rStyle w:val="eop"/>
                <w:sz w:val="18"/>
                <w:szCs w:val="18"/>
              </w:rPr>
              <w:t> </w:t>
            </w:r>
          </w:p>
          <w:p w:rsidR="007C15AB" w:rsidRPr="00405076" w:rsidRDefault="007C15AB" w:rsidP="007907E6">
            <w:pPr>
              <w:pStyle w:val="paragraph"/>
              <w:spacing w:before="0" w:beforeAutospacing="0" w:after="0" w:afterAutospacing="0"/>
              <w:jc w:val="both"/>
              <w:textAlignment w:val="baseline"/>
              <w:rPr>
                <w:rStyle w:val="normaltextrun"/>
                <w:sz w:val="18"/>
                <w:szCs w:val="18"/>
              </w:rPr>
            </w:pPr>
            <w:r w:rsidRPr="00405076">
              <w:rPr>
                <w:rStyle w:val="normaltextrun"/>
                <w:sz w:val="18"/>
                <w:szCs w:val="18"/>
                <w:lang w:val="uk-UA"/>
              </w:rPr>
              <w:t>ФК.2. Здатність продемонструвати знання і розуміння сучасних наукових теорій і методів, та вміння їх ефективно застосовувати для аналізу, синтезу та оптимізації систем автоматизованого керування технологічними процесами та комп’ютерно-інтегрованих технологій.</w:t>
            </w:r>
            <w:r w:rsidRPr="00405076">
              <w:rPr>
                <w:rStyle w:val="eop"/>
                <w:sz w:val="18"/>
                <w:szCs w:val="18"/>
              </w:rPr>
              <w:t> </w:t>
            </w:r>
          </w:p>
          <w:p w:rsidR="007C15AB" w:rsidRPr="0077050D" w:rsidRDefault="007C15AB" w:rsidP="007907E6">
            <w:pPr>
              <w:numPr>
                <w:ilvl w:val="0"/>
                <w:numId w:val="2"/>
              </w:numPr>
              <w:tabs>
                <w:tab w:val="left" w:pos="252"/>
              </w:tabs>
              <w:spacing w:after="0" w:line="240" w:lineRule="auto"/>
              <w:ind w:left="32" w:firstLine="0"/>
              <w:rPr>
                <w:rFonts w:ascii="Times New Roman" w:hAnsi="Times New Roman"/>
                <w:color w:val="000000"/>
                <w:sz w:val="18"/>
                <w:szCs w:val="18"/>
                <w:lang w:val="ru-RU"/>
              </w:rPr>
            </w:pPr>
            <w:r w:rsidRPr="00405076">
              <w:rPr>
                <w:rStyle w:val="normaltextrun"/>
                <w:rFonts w:ascii="Times New Roman" w:hAnsi="Times New Roman"/>
                <w:sz w:val="18"/>
                <w:szCs w:val="18"/>
                <w:shd w:val="clear" w:color="auto" w:fill="FFFFFF"/>
              </w:rPr>
              <w:t>ФК.8. Здатність застосовувати сучасні методи моделювання поведінки конструкцій під навантаженням, засобів цифрової обробки та перетворення сигналів в комп’ютерно-інтегрованих системах.</w:t>
            </w:r>
            <w:r w:rsidRPr="00405076">
              <w:rPr>
                <w:rStyle w:val="eop"/>
                <w:rFonts w:ascii="Times New Roman" w:hAnsi="Times New Roman"/>
                <w:sz w:val="18"/>
                <w:szCs w:val="18"/>
                <w:shd w:val="clear" w:color="auto" w:fill="FFFFFF"/>
              </w:rPr>
              <w:t> </w:t>
            </w:r>
          </w:p>
        </w:tc>
      </w:tr>
      <w:tr w:rsidR="007C15AB" w:rsidRPr="0077050D" w:rsidTr="007C15AB">
        <w:trPr>
          <w:trHeight w:val="331"/>
        </w:trPr>
        <w:tc>
          <w:tcPr>
            <w:tcW w:w="2214" w:type="pct"/>
            <w:tcBorders>
              <w:top w:val="single" w:sz="8" w:space="0" w:color="auto"/>
              <w:left w:val="single" w:sz="8" w:space="0" w:color="auto"/>
              <w:bottom w:val="nil"/>
              <w:right w:val="nil"/>
            </w:tcBorders>
            <w:shd w:val="clear" w:color="000000" w:fill="FFFFFF"/>
            <w:vAlign w:val="center"/>
          </w:tcPr>
          <w:p w:rsidR="007C15AB" w:rsidRPr="007C15AB" w:rsidRDefault="007C15AB" w:rsidP="00791189">
            <w:pPr>
              <w:spacing w:after="0" w:line="240" w:lineRule="auto"/>
              <w:rPr>
                <w:rFonts w:ascii="Times New Roman" w:hAnsi="Times New Roman"/>
                <w:color w:val="000000"/>
                <w:sz w:val="18"/>
                <w:szCs w:val="18"/>
              </w:rPr>
            </w:pPr>
            <w:r w:rsidRPr="007C15AB">
              <w:rPr>
                <w:rFonts w:ascii="Times New Roman" w:hAnsi="Times New Roman"/>
                <w:color w:val="000000"/>
                <w:sz w:val="18"/>
                <w:szCs w:val="18"/>
              </w:rPr>
              <w:t xml:space="preserve">Види навчальних занять </w:t>
            </w:r>
          </w:p>
          <w:p w:rsidR="007C15AB" w:rsidRPr="007C15AB" w:rsidRDefault="007C15AB" w:rsidP="00791189">
            <w:pPr>
              <w:spacing w:after="0" w:line="240" w:lineRule="auto"/>
              <w:rPr>
                <w:rFonts w:ascii="Times New Roman" w:hAnsi="Times New Roman"/>
                <w:color w:val="000000"/>
                <w:sz w:val="18"/>
                <w:szCs w:val="18"/>
              </w:rPr>
            </w:pPr>
            <w:r w:rsidRPr="007C15AB">
              <w:rPr>
                <w:rFonts w:ascii="Times New Roman" w:hAnsi="Times New Roman"/>
                <w:i/>
                <w:color w:val="000000"/>
                <w:sz w:val="18"/>
                <w:szCs w:val="18"/>
              </w:rPr>
              <w:t>(лекції, практичні, семінарські, лабораторні заняття тощо)</w:t>
            </w:r>
          </w:p>
        </w:tc>
        <w:tc>
          <w:tcPr>
            <w:tcW w:w="2786" w:type="pct"/>
            <w:tcBorders>
              <w:top w:val="single" w:sz="8" w:space="0" w:color="auto"/>
              <w:left w:val="single" w:sz="8" w:space="0" w:color="auto"/>
              <w:bottom w:val="nil"/>
              <w:right w:val="single" w:sz="8" w:space="0" w:color="auto"/>
            </w:tcBorders>
            <w:shd w:val="clear" w:color="000000" w:fill="FFFFFF"/>
          </w:tcPr>
          <w:p w:rsidR="007C15AB" w:rsidRPr="0077050D" w:rsidRDefault="007C15AB" w:rsidP="007D6A71">
            <w:pPr>
              <w:spacing w:after="0" w:line="240" w:lineRule="auto"/>
              <w:rPr>
                <w:rFonts w:ascii="Times New Roman" w:hAnsi="Times New Roman"/>
                <w:color w:val="000000"/>
                <w:sz w:val="18"/>
                <w:szCs w:val="18"/>
                <w:highlight w:val="yellow"/>
              </w:rPr>
            </w:pPr>
            <w:r w:rsidRPr="0077050D">
              <w:rPr>
                <w:rFonts w:ascii="Times New Roman" w:hAnsi="Times New Roman"/>
                <w:color w:val="000000"/>
                <w:sz w:val="18"/>
                <w:szCs w:val="18"/>
              </w:rPr>
              <w:t>Лекції, семінарські заняття</w:t>
            </w:r>
          </w:p>
        </w:tc>
      </w:tr>
      <w:tr w:rsidR="007C15AB" w:rsidRPr="0077050D" w:rsidTr="007C15AB">
        <w:trPr>
          <w:trHeight w:val="323"/>
        </w:trPr>
        <w:tc>
          <w:tcPr>
            <w:tcW w:w="2214" w:type="pct"/>
            <w:tcBorders>
              <w:top w:val="single" w:sz="8" w:space="0" w:color="auto"/>
              <w:left w:val="single" w:sz="8" w:space="0" w:color="auto"/>
              <w:bottom w:val="single" w:sz="8" w:space="0" w:color="auto"/>
              <w:right w:val="nil"/>
            </w:tcBorders>
            <w:shd w:val="clear" w:color="000000" w:fill="FFFFFF"/>
            <w:vAlign w:val="center"/>
          </w:tcPr>
          <w:p w:rsidR="007C15AB" w:rsidRPr="007C15AB" w:rsidRDefault="007C15AB" w:rsidP="00791189">
            <w:pPr>
              <w:spacing w:after="0" w:line="240" w:lineRule="auto"/>
              <w:rPr>
                <w:rFonts w:ascii="Times New Roman" w:hAnsi="Times New Roman"/>
                <w:color w:val="000000"/>
                <w:sz w:val="18"/>
                <w:szCs w:val="18"/>
              </w:rPr>
            </w:pPr>
            <w:r w:rsidRPr="007C15AB">
              <w:rPr>
                <w:rFonts w:ascii="Times New Roman" w:hAnsi="Times New Roman"/>
                <w:color w:val="000000"/>
                <w:sz w:val="18"/>
                <w:szCs w:val="18"/>
              </w:rPr>
              <w:t>Вид семестрового контролю</w:t>
            </w:r>
          </w:p>
        </w:tc>
        <w:tc>
          <w:tcPr>
            <w:tcW w:w="2786" w:type="pct"/>
            <w:tcBorders>
              <w:top w:val="single" w:sz="8" w:space="0" w:color="auto"/>
              <w:left w:val="single" w:sz="8" w:space="0" w:color="auto"/>
              <w:bottom w:val="single" w:sz="8" w:space="0" w:color="auto"/>
              <w:right w:val="single" w:sz="8" w:space="0" w:color="auto"/>
            </w:tcBorders>
            <w:shd w:val="clear" w:color="000000" w:fill="FFFFFF"/>
          </w:tcPr>
          <w:p w:rsidR="007C15AB" w:rsidRPr="0077050D" w:rsidRDefault="007C15AB" w:rsidP="007D6A71">
            <w:pPr>
              <w:spacing w:after="0" w:line="240" w:lineRule="auto"/>
              <w:rPr>
                <w:rFonts w:ascii="Times New Roman" w:hAnsi="Times New Roman"/>
                <w:color w:val="000000"/>
                <w:sz w:val="18"/>
                <w:szCs w:val="18"/>
              </w:rPr>
            </w:pPr>
            <w:proofErr w:type="spellStart"/>
            <w:r>
              <w:rPr>
                <w:rFonts w:ascii="Times New Roman" w:hAnsi="Times New Roman"/>
                <w:color w:val="000000"/>
                <w:sz w:val="18"/>
                <w:szCs w:val="18"/>
              </w:rPr>
              <w:t>Диф.залік</w:t>
            </w:r>
            <w:proofErr w:type="spellEnd"/>
          </w:p>
        </w:tc>
      </w:tr>
      <w:tr w:rsidR="007C15AB" w:rsidRPr="0077050D" w:rsidTr="007C15AB">
        <w:trPr>
          <w:trHeight w:val="412"/>
        </w:trPr>
        <w:tc>
          <w:tcPr>
            <w:tcW w:w="2214" w:type="pct"/>
            <w:tcBorders>
              <w:top w:val="single" w:sz="8" w:space="0" w:color="auto"/>
              <w:left w:val="single" w:sz="8" w:space="0" w:color="auto"/>
              <w:bottom w:val="single" w:sz="8" w:space="0" w:color="auto"/>
              <w:right w:val="nil"/>
            </w:tcBorders>
            <w:shd w:val="clear" w:color="000000" w:fill="FFFFFF"/>
            <w:vAlign w:val="center"/>
          </w:tcPr>
          <w:p w:rsidR="007C15AB" w:rsidRPr="007C15AB" w:rsidRDefault="007C15AB" w:rsidP="00791189">
            <w:pPr>
              <w:spacing w:after="0" w:line="240" w:lineRule="auto"/>
              <w:rPr>
                <w:rFonts w:ascii="Times New Roman" w:hAnsi="Times New Roman"/>
                <w:sz w:val="18"/>
                <w:szCs w:val="18"/>
                <w:vertAlign w:val="superscript"/>
              </w:rPr>
            </w:pPr>
            <w:r w:rsidRPr="007C15AB">
              <w:rPr>
                <w:rFonts w:ascii="Times New Roman" w:hAnsi="Times New Roman"/>
                <w:sz w:val="18"/>
                <w:szCs w:val="18"/>
              </w:rPr>
              <w:t xml:space="preserve">Максимальна кількість здобувачів </w:t>
            </w:r>
            <w:r w:rsidRPr="007C15AB">
              <w:rPr>
                <w:rFonts w:ascii="Times New Roman" w:hAnsi="Times New Roman"/>
                <w:b/>
                <w:color w:val="0033CC"/>
                <w:sz w:val="18"/>
                <w:szCs w:val="18"/>
                <w:vertAlign w:val="superscript"/>
              </w:rPr>
              <w:t>2</w:t>
            </w:r>
          </w:p>
        </w:tc>
        <w:tc>
          <w:tcPr>
            <w:tcW w:w="2786" w:type="pct"/>
            <w:tcBorders>
              <w:top w:val="single" w:sz="8" w:space="0" w:color="auto"/>
              <w:left w:val="single" w:sz="8" w:space="0" w:color="auto"/>
              <w:bottom w:val="single" w:sz="8" w:space="0" w:color="auto"/>
              <w:right w:val="single" w:sz="8" w:space="0" w:color="auto"/>
            </w:tcBorders>
            <w:shd w:val="clear" w:color="000000" w:fill="FFFFFF"/>
          </w:tcPr>
          <w:p w:rsidR="007C15AB" w:rsidRPr="0077050D" w:rsidRDefault="007C15AB" w:rsidP="007D6A71">
            <w:pPr>
              <w:spacing w:after="0" w:line="240" w:lineRule="auto"/>
              <w:rPr>
                <w:rFonts w:ascii="Times New Roman" w:hAnsi="Times New Roman"/>
                <w:color w:val="000000"/>
                <w:sz w:val="18"/>
                <w:szCs w:val="18"/>
              </w:rPr>
            </w:pPr>
            <w:r>
              <w:rPr>
                <w:rFonts w:ascii="Times New Roman" w:hAnsi="Times New Roman"/>
                <w:color w:val="000000"/>
                <w:sz w:val="18"/>
                <w:szCs w:val="18"/>
              </w:rPr>
              <w:t>2</w:t>
            </w:r>
          </w:p>
        </w:tc>
      </w:tr>
      <w:tr w:rsidR="007C15AB" w:rsidRPr="0077050D" w:rsidTr="007C15AB">
        <w:trPr>
          <w:trHeight w:val="412"/>
        </w:trPr>
        <w:tc>
          <w:tcPr>
            <w:tcW w:w="2214" w:type="pct"/>
            <w:tcBorders>
              <w:top w:val="single" w:sz="8" w:space="0" w:color="auto"/>
              <w:left w:val="single" w:sz="8" w:space="0" w:color="auto"/>
              <w:bottom w:val="single" w:sz="8" w:space="0" w:color="auto"/>
              <w:right w:val="nil"/>
            </w:tcBorders>
            <w:shd w:val="clear" w:color="000000" w:fill="FFFFFF"/>
            <w:vAlign w:val="center"/>
          </w:tcPr>
          <w:p w:rsidR="007C15AB" w:rsidRPr="007C15AB" w:rsidRDefault="007C15AB" w:rsidP="00791189">
            <w:pPr>
              <w:spacing w:after="0" w:line="240" w:lineRule="auto"/>
              <w:rPr>
                <w:rFonts w:ascii="Times New Roman" w:hAnsi="Times New Roman"/>
                <w:color w:val="0000FF"/>
                <w:sz w:val="18"/>
                <w:szCs w:val="18"/>
              </w:rPr>
            </w:pPr>
            <w:r w:rsidRPr="007C15AB">
              <w:rPr>
                <w:rFonts w:ascii="Times New Roman" w:hAnsi="Times New Roman"/>
                <w:sz w:val="18"/>
                <w:szCs w:val="18"/>
              </w:rPr>
              <w:t xml:space="preserve">Мінімальна кількість здобувачів </w:t>
            </w:r>
            <w:r w:rsidRPr="007C15AB">
              <w:rPr>
                <w:rFonts w:ascii="Times New Roman" w:hAnsi="Times New Roman"/>
                <w:i/>
                <w:sz w:val="18"/>
                <w:szCs w:val="18"/>
              </w:rPr>
              <w:t>(тільки для мовних дисциплін)</w:t>
            </w:r>
          </w:p>
        </w:tc>
        <w:tc>
          <w:tcPr>
            <w:tcW w:w="2786" w:type="pct"/>
            <w:tcBorders>
              <w:top w:val="single" w:sz="8" w:space="0" w:color="auto"/>
              <w:left w:val="single" w:sz="8" w:space="0" w:color="auto"/>
              <w:bottom w:val="single" w:sz="8" w:space="0" w:color="auto"/>
              <w:right w:val="single" w:sz="8" w:space="0" w:color="auto"/>
            </w:tcBorders>
            <w:shd w:val="clear" w:color="000000" w:fill="FFFFFF"/>
          </w:tcPr>
          <w:p w:rsidR="007C15AB" w:rsidRDefault="007C15AB" w:rsidP="007D6A71">
            <w:pPr>
              <w:spacing w:after="0" w:line="240" w:lineRule="auto"/>
              <w:rPr>
                <w:rFonts w:ascii="Times New Roman" w:hAnsi="Times New Roman"/>
                <w:color w:val="000000"/>
                <w:sz w:val="18"/>
                <w:szCs w:val="18"/>
              </w:rPr>
            </w:pPr>
          </w:p>
        </w:tc>
      </w:tr>
    </w:tbl>
    <w:p w:rsidR="0052187D" w:rsidRPr="00726B72" w:rsidRDefault="0052187D" w:rsidP="00726B72">
      <w:pPr>
        <w:tabs>
          <w:tab w:val="left" w:pos="5940"/>
        </w:tabs>
      </w:pPr>
    </w:p>
    <w:sectPr w:rsidR="0052187D" w:rsidRPr="00726B72" w:rsidSect="00726B72">
      <w:type w:val="continuous"/>
      <w:pgSz w:w="11906" w:h="16838"/>
      <w:pgMar w:top="851" w:right="1134" w:bottom="1134" w:left="1134"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3488B"/>
    <w:multiLevelType w:val="hybridMultilevel"/>
    <w:tmpl w:val="72CA14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FE83C91"/>
    <w:multiLevelType w:val="hybridMultilevel"/>
    <w:tmpl w:val="9D5A1C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26B72"/>
    <w:rsid w:val="000F1442"/>
    <w:rsid w:val="001D4C60"/>
    <w:rsid w:val="002821E9"/>
    <w:rsid w:val="0052187D"/>
    <w:rsid w:val="006748DE"/>
    <w:rsid w:val="007206A7"/>
    <w:rsid w:val="00726B72"/>
    <w:rsid w:val="0077050D"/>
    <w:rsid w:val="007907E6"/>
    <w:rsid w:val="007C15AB"/>
    <w:rsid w:val="007D6A71"/>
    <w:rsid w:val="00953792"/>
    <w:rsid w:val="0099074E"/>
    <w:rsid w:val="00A070AD"/>
    <w:rsid w:val="00A4519C"/>
    <w:rsid w:val="00A602E6"/>
    <w:rsid w:val="00A661ED"/>
    <w:rsid w:val="00AA4843"/>
    <w:rsid w:val="00AC6177"/>
    <w:rsid w:val="00B37B70"/>
    <w:rsid w:val="00C47CCA"/>
    <w:rsid w:val="00CB676E"/>
    <w:rsid w:val="00CF127E"/>
    <w:rsid w:val="00D673EA"/>
    <w:rsid w:val="00E04BB5"/>
    <w:rsid w:val="00E0793A"/>
    <w:rsid w:val="00E621A4"/>
    <w:rsid w:val="00EE7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87D"/>
    <w:pPr>
      <w:spacing w:after="160" w:line="259" w:lineRule="auto"/>
    </w:pPr>
    <w:rPr>
      <w:sz w:val="22"/>
      <w:szCs w:val="22"/>
      <w:lang w:val="uk-UA"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6B72"/>
    <w:pPr>
      <w:autoSpaceDE w:val="0"/>
      <w:autoSpaceDN w:val="0"/>
      <w:adjustRightInd w:val="0"/>
    </w:pPr>
    <w:rPr>
      <w:rFonts w:eastAsia="Times New Roman" w:cs="Calibri"/>
      <w:color w:val="000000"/>
      <w:sz w:val="24"/>
      <w:szCs w:val="24"/>
    </w:rPr>
  </w:style>
  <w:style w:type="paragraph" w:styleId="a3">
    <w:name w:val="Обычный (Интернет)"/>
    <w:basedOn w:val="a"/>
    <w:uiPriority w:val="99"/>
    <w:unhideWhenUsed/>
    <w:rsid w:val="00726B72"/>
    <w:pPr>
      <w:spacing w:before="100" w:beforeAutospacing="1" w:after="100" w:afterAutospacing="1" w:line="240" w:lineRule="auto"/>
    </w:pPr>
    <w:rPr>
      <w:rFonts w:ascii="Times New Roman" w:eastAsia="Times New Roman" w:hAnsi="Times New Roman"/>
      <w:sz w:val="24"/>
      <w:szCs w:val="24"/>
      <w:lang/>
    </w:rPr>
  </w:style>
  <w:style w:type="paragraph" w:customStyle="1" w:styleId="paragraph">
    <w:name w:val="paragraph"/>
    <w:basedOn w:val="a"/>
    <w:rsid w:val="007907E6"/>
    <w:pPr>
      <w:spacing w:before="100" w:beforeAutospacing="1" w:after="100" w:afterAutospacing="1" w:line="240" w:lineRule="auto"/>
    </w:pPr>
    <w:rPr>
      <w:rFonts w:ascii="Times New Roman" w:eastAsia="Times New Roman" w:hAnsi="Times New Roman"/>
      <w:sz w:val="24"/>
      <w:szCs w:val="24"/>
      <w:lang/>
    </w:rPr>
  </w:style>
  <w:style w:type="character" w:customStyle="1" w:styleId="normaltextrun">
    <w:name w:val="normaltextrun"/>
    <w:basedOn w:val="a0"/>
    <w:rsid w:val="007907E6"/>
  </w:style>
  <w:style w:type="character" w:customStyle="1" w:styleId="eop">
    <w:name w:val="eop"/>
    <w:basedOn w:val="a0"/>
    <w:rsid w:val="007907E6"/>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A3479B2A92B514C833F34D03F68A491" ma:contentTypeVersion="12" ma:contentTypeDescription="Создание документа." ma:contentTypeScope="" ma:versionID="527e1b787e4065aadc6a1c94c49eeb41">
  <xsd:schema xmlns:xsd="http://www.w3.org/2001/XMLSchema" xmlns:xs="http://www.w3.org/2001/XMLSchema" xmlns:p="http://schemas.microsoft.com/office/2006/metadata/properties" xmlns:ns2="52cf0540-9a70-4c86-819e-6ceca70e4fe5" xmlns:ns3="04609e4c-6f92-4b46-b1af-f3a7b610399b" targetNamespace="http://schemas.microsoft.com/office/2006/metadata/properties" ma:root="true" ma:fieldsID="9a73bd89fe84f6856554d5d1f173a68f" ns2:_="" ns3:_="">
    <xsd:import namespace="52cf0540-9a70-4c86-819e-6ceca70e4fe5"/>
    <xsd:import namespace="04609e4c-6f92-4b46-b1af-f3a7b61039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f0540-9a70-4c86-819e-6ceca70e4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609e4c-6f92-4b46-b1af-f3a7b610399b"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6E142FB-34C5-4788-A550-75231CEEF601}">
  <ds:schemaRefs>
    <ds:schemaRef ds:uri="http://schemas.microsoft.com/sharepoint/v3/contenttype/forms"/>
  </ds:schemaRefs>
</ds:datastoreItem>
</file>

<file path=customXml/itemProps2.xml><?xml version="1.0" encoding="utf-8"?>
<ds:datastoreItem xmlns:ds="http://schemas.openxmlformats.org/officeDocument/2006/customXml" ds:itemID="{56895FFE-C453-4473-A9BC-84FF2478D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f0540-9a70-4c86-819e-6ceca70e4fe5"/>
    <ds:schemaRef ds:uri="04609e4c-6f92-4b46-b1af-f3a7b6103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24E98F-305D-4549-B1EC-D3DBCA13E3E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Klimenko</dc:creator>
  <cp:lastModifiedBy>Сергей</cp:lastModifiedBy>
  <cp:revision>2</cp:revision>
  <dcterms:created xsi:type="dcterms:W3CDTF">2021-09-08T15:42:00Z</dcterms:created>
  <dcterms:modified xsi:type="dcterms:W3CDTF">2021-09-08T15:42:00Z</dcterms:modified>
</cp:coreProperties>
</file>