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47752C" w:rsidRPr="0047752C" w:rsidTr="0047752C">
        <w:trPr>
          <w:trHeight w:val="61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D0FFE">
              <w:rPr>
                <w:rFonts w:ascii="Times New Roman" w:eastAsia="Times New Roman" w:hAnsi="Times New Roman"/>
                <w:lang w:val="uk-UA"/>
              </w:rPr>
              <w:t xml:space="preserve">2-131-4 </w:t>
            </w:r>
            <w:r w:rsidRPr="00BD0FFE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Експертні методи в задачах прикладної механіки  </w:t>
            </w:r>
          </w:p>
        </w:tc>
      </w:tr>
      <w:tr w:rsidR="0047752C" w:rsidRPr="0047752C" w:rsidTr="0047752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pStyle w:val="paragraph"/>
              <w:spacing w:before="0" w:beforeAutospacing="0" w:after="0" w:afterAutospacing="0"/>
              <w:ind w:right="84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BD0FFE">
              <w:rPr>
                <w:color w:val="000000"/>
                <w:sz w:val="22"/>
                <w:szCs w:val="22"/>
                <w:lang w:val="uk-UA"/>
              </w:rPr>
              <w:t xml:space="preserve">Для усіх спеціальностей </w:t>
            </w:r>
          </w:p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(дисципліна факультетського вибору)</w:t>
            </w:r>
          </w:p>
        </w:tc>
      </w:tr>
      <w:tr w:rsidR="0047752C" w:rsidRPr="00BD0FFE" w:rsidTr="0047752C">
        <w:trPr>
          <w:trHeight w:val="32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D0FFE">
              <w:rPr>
                <w:rFonts w:ascii="Times New Roman" w:hAnsi="Times New Roman"/>
                <w:color w:val="000000"/>
                <w:lang w:val="uk-UA"/>
              </w:rPr>
              <w:t>Механотроніки</w:t>
            </w:r>
            <w:proofErr w:type="spellEnd"/>
          </w:p>
        </w:tc>
      </w:tr>
      <w:tr w:rsidR="0047752C" w:rsidRPr="0047752C" w:rsidTr="0047752C">
        <w:trPr>
          <w:trHeight w:val="40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7752C" w:rsidRPr="00BD0FFE" w:rsidTr="0047752C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Третій (доктор фі</w:t>
            </w:r>
            <w:bookmarkStart w:id="0" w:name="_GoBack"/>
            <w:bookmarkEnd w:id="0"/>
            <w:r w:rsidRPr="00BD0FFE">
              <w:rPr>
                <w:rFonts w:ascii="Times New Roman" w:hAnsi="Times New Roman"/>
                <w:color w:val="000000"/>
                <w:lang w:val="uk-UA"/>
              </w:rPr>
              <w:t>лософії)</w:t>
            </w:r>
          </w:p>
        </w:tc>
      </w:tr>
      <w:tr w:rsidR="0047752C" w:rsidRPr="00BD0FFE" w:rsidTr="0047752C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0FFE">
              <w:rPr>
                <w:rStyle w:val="normaltextrun"/>
                <w:rFonts w:ascii="Times New Roman" w:hAnsi="Times New Roman"/>
                <w:lang w:val="uk-UA"/>
              </w:rPr>
              <w:t>1 курс 2 семестр</w:t>
            </w:r>
          </w:p>
        </w:tc>
      </w:tr>
      <w:tr w:rsidR="0047752C" w:rsidRPr="00BD0FFE" w:rsidTr="0047752C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47752C" w:rsidRPr="0047752C" w:rsidTr="0047752C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E851B4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BD0FFE">
              <w:rPr>
                <w:rFonts w:ascii="Times New Roman" w:hAnsi="Times New Roman"/>
                <w:lang w:val="uk-UA"/>
              </w:rPr>
              <w:t xml:space="preserve">Передбачає наявність систематичних і ґрунтовних знань з дисциплін Вища математика, Теорія </w:t>
            </w:r>
            <w:proofErr w:type="spellStart"/>
            <w:r w:rsidRPr="00BD0FFE">
              <w:rPr>
                <w:rFonts w:ascii="Times New Roman" w:hAnsi="Times New Roman"/>
                <w:lang w:val="uk-UA"/>
              </w:rPr>
              <w:t>імовірностей</w:t>
            </w:r>
            <w:proofErr w:type="spellEnd"/>
            <w:r w:rsidRPr="00BD0FFE">
              <w:rPr>
                <w:rFonts w:ascii="Times New Roman" w:hAnsi="Times New Roman"/>
                <w:lang w:val="uk-UA"/>
              </w:rPr>
              <w:t xml:space="preserve"> та математична статистика</w:t>
            </w:r>
          </w:p>
        </w:tc>
      </w:tr>
      <w:tr w:rsidR="0047752C" w:rsidRPr="0047752C" w:rsidTr="0047752C">
        <w:trPr>
          <w:trHeight w:val="708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D0FFE">
              <w:rPr>
                <w:rFonts w:ascii="Times New Roman" w:hAnsi="Times New Roman"/>
                <w:bCs/>
                <w:lang w:val="uk-UA"/>
              </w:rPr>
              <w:t>Методи експертного оцінювання для оцінки можливості подальшого використання складних і дорогих технічних систем і конструкцій, у яких закінчився гарантійний строк експлуатації</w:t>
            </w:r>
          </w:p>
        </w:tc>
      </w:tr>
      <w:tr w:rsidR="0047752C" w:rsidRPr="0047752C" w:rsidTr="0047752C">
        <w:trPr>
          <w:trHeight w:val="99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D0FFE">
              <w:rPr>
                <w:rFonts w:ascii="Times New Roman" w:hAnsi="Times New Roman"/>
                <w:bCs/>
                <w:lang w:val="uk-UA"/>
              </w:rPr>
              <w:t>Дисципліна надає можливість студентам набути навички застосування методів експертних оцінок для визначення ресурсу та залишкового ресурсу складних технічних систем і конструкцій</w:t>
            </w:r>
          </w:p>
        </w:tc>
      </w:tr>
      <w:tr w:rsidR="0047752C" w:rsidRPr="0047752C" w:rsidTr="0047752C">
        <w:trPr>
          <w:trHeight w:val="68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lang w:val="uk-UA"/>
              </w:rPr>
            </w:pPr>
            <w:r w:rsidRPr="00BD0FFE">
              <w:rPr>
                <w:rFonts w:ascii="Times New Roman" w:hAnsi="Times New Roman"/>
                <w:bCs/>
                <w:spacing w:val="-4"/>
                <w:lang w:val="uk-UA"/>
              </w:rPr>
              <w:t>У результаті вивчення дисципліни студент отримає наступні знання:</w:t>
            </w:r>
          </w:p>
          <w:p w:rsidR="0047752C" w:rsidRPr="00BD0FFE" w:rsidRDefault="0047752C" w:rsidP="0042041C">
            <w:pPr>
              <w:pStyle w:val="a3"/>
              <w:numPr>
                <w:ilvl w:val="0"/>
                <w:numId w:val="1"/>
              </w:numPr>
              <w:tabs>
                <w:tab w:val="num" w:pos="299"/>
              </w:tabs>
              <w:autoSpaceDE/>
              <w:autoSpaceDN/>
              <w:adjustRightInd/>
              <w:ind w:left="299" w:hanging="284"/>
              <w:jc w:val="both"/>
              <w:rPr>
                <w:bCs/>
                <w:sz w:val="22"/>
                <w:szCs w:val="22"/>
                <w:lang w:val="uk-UA"/>
              </w:rPr>
            </w:pPr>
            <w:r w:rsidRPr="00BD0FFE">
              <w:rPr>
                <w:bCs/>
                <w:sz w:val="22"/>
                <w:szCs w:val="22"/>
                <w:lang w:val="uk-UA"/>
              </w:rPr>
              <w:t>методи експертного оцінювання, які використовуються в прикладній механіки для прогнозування ресурсу технічних систем і конструкцій;</w:t>
            </w:r>
          </w:p>
          <w:p w:rsidR="0047752C" w:rsidRPr="00BD0FFE" w:rsidRDefault="0047752C" w:rsidP="0042041C">
            <w:pPr>
              <w:pStyle w:val="a3"/>
              <w:numPr>
                <w:ilvl w:val="0"/>
                <w:numId w:val="1"/>
              </w:numPr>
              <w:tabs>
                <w:tab w:val="num" w:pos="299"/>
              </w:tabs>
              <w:autoSpaceDE/>
              <w:autoSpaceDN/>
              <w:adjustRightInd/>
              <w:ind w:left="299" w:hanging="284"/>
              <w:jc w:val="both"/>
              <w:rPr>
                <w:bCs/>
                <w:sz w:val="22"/>
                <w:szCs w:val="22"/>
                <w:lang w:val="uk-UA"/>
              </w:rPr>
            </w:pPr>
            <w:r w:rsidRPr="00BD0FFE">
              <w:rPr>
                <w:bCs/>
                <w:sz w:val="22"/>
                <w:szCs w:val="22"/>
                <w:lang w:val="uk-UA"/>
              </w:rPr>
              <w:t>процедуру експертного оцінювання можливості продовження строку експлуатації технічної системи і машинобудівних конструкцій;</w:t>
            </w:r>
          </w:p>
          <w:p w:rsidR="0047752C" w:rsidRPr="00BD0FFE" w:rsidRDefault="0047752C" w:rsidP="0042041C">
            <w:pPr>
              <w:pStyle w:val="a3"/>
              <w:numPr>
                <w:ilvl w:val="0"/>
                <w:numId w:val="1"/>
              </w:numPr>
              <w:tabs>
                <w:tab w:val="num" w:pos="299"/>
              </w:tabs>
              <w:autoSpaceDE/>
              <w:autoSpaceDN/>
              <w:adjustRightInd/>
              <w:ind w:left="299" w:hanging="284"/>
              <w:jc w:val="both"/>
              <w:rPr>
                <w:bCs/>
                <w:sz w:val="22"/>
                <w:szCs w:val="22"/>
                <w:lang w:val="uk-UA"/>
              </w:rPr>
            </w:pPr>
            <w:r w:rsidRPr="00BD0FFE">
              <w:rPr>
                <w:bCs/>
                <w:sz w:val="22"/>
                <w:szCs w:val="22"/>
                <w:lang w:val="uk-UA"/>
              </w:rPr>
              <w:t>методологію й процедуру формування групи експертів для проведення експертного оцінювання;</w:t>
            </w:r>
          </w:p>
          <w:p w:rsidR="0047752C" w:rsidRPr="00BD0FFE" w:rsidRDefault="0047752C" w:rsidP="0042041C">
            <w:pPr>
              <w:pStyle w:val="a3"/>
              <w:numPr>
                <w:ilvl w:val="0"/>
                <w:numId w:val="1"/>
              </w:numPr>
              <w:tabs>
                <w:tab w:val="num" w:pos="299"/>
              </w:tabs>
              <w:autoSpaceDE/>
              <w:autoSpaceDN/>
              <w:adjustRightInd/>
              <w:ind w:left="299" w:hanging="284"/>
              <w:jc w:val="both"/>
              <w:rPr>
                <w:bCs/>
                <w:sz w:val="22"/>
                <w:szCs w:val="22"/>
                <w:lang w:val="uk-UA"/>
              </w:rPr>
            </w:pPr>
            <w:r w:rsidRPr="00BD0FFE">
              <w:rPr>
                <w:bCs/>
                <w:sz w:val="22"/>
                <w:szCs w:val="22"/>
                <w:lang w:val="uk-UA"/>
              </w:rPr>
              <w:t xml:space="preserve">методологію визначення погодженості групи експертів; </w:t>
            </w:r>
          </w:p>
          <w:p w:rsidR="0047752C" w:rsidRPr="00BD0FFE" w:rsidRDefault="0047752C" w:rsidP="0042041C">
            <w:pPr>
              <w:pStyle w:val="a3"/>
              <w:numPr>
                <w:ilvl w:val="0"/>
                <w:numId w:val="1"/>
              </w:numPr>
              <w:tabs>
                <w:tab w:val="num" w:pos="299"/>
              </w:tabs>
              <w:autoSpaceDE/>
              <w:autoSpaceDN/>
              <w:adjustRightInd/>
              <w:ind w:left="299" w:hanging="284"/>
              <w:jc w:val="both"/>
              <w:rPr>
                <w:bCs/>
                <w:sz w:val="22"/>
                <w:szCs w:val="22"/>
                <w:lang w:val="uk-UA"/>
              </w:rPr>
            </w:pPr>
            <w:r w:rsidRPr="00BD0FFE">
              <w:rPr>
                <w:bCs/>
                <w:sz w:val="22"/>
                <w:szCs w:val="22"/>
                <w:lang w:val="uk-UA"/>
              </w:rPr>
              <w:t>методи обробки результатів експертизи та прогнозування ресурсу та залишкового ресурсу технічної системи</w:t>
            </w:r>
          </w:p>
        </w:tc>
      </w:tr>
      <w:tr w:rsidR="0047752C" w:rsidRPr="0047752C" w:rsidTr="0047752C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lang w:val="uk-UA"/>
              </w:rPr>
            </w:pPr>
            <w:r w:rsidRPr="00BD0FFE">
              <w:rPr>
                <w:rFonts w:ascii="Times New Roman" w:hAnsi="Times New Roman"/>
                <w:bCs/>
                <w:spacing w:val="-4"/>
                <w:lang w:val="uk-UA"/>
              </w:rPr>
              <w:t xml:space="preserve">Після вивчення дисципліни студент буде вміти </w:t>
            </w:r>
            <w:r w:rsidRPr="00BD0FFE">
              <w:rPr>
                <w:rFonts w:ascii="Times New Roman" w:hAnsi="Times New Roman"/>
                <w:bCs/>
                <w:lang w:val="uk-UA"/>
              </w:rPr>
              <w:t>застосовувати вивчені методи експертних оцінок для прогнозування</w:t>
            </w:r>
            <w:r w:rsidRPr="00BD0FFE">
              <w:rPr>
                <w:rFonts w:ascii="Times New Roman" w:hAnsi="Times New Roman"/>
                <w:lang w:val="uk-UA"/>
              </w:rPr>
              <w:t xml:space="preserve"> ресурсу дорогих та унікальних технічних систем та</w:t>
            </w:r>
            <w:r w:rsidRPr="00BD0FFE">
              <w:rPr>
                <w:rFonts w:ascii="Times New Roman" w:hAnsi="Times New Roman"/>
                <w:bCs/>
                <w:lang w:val="uk-UA"/>
              </w:rPr>
              <w:t xml:space="preserve"> машинобудівних конструкцій</w:t>
            </w:r>
          </w:p>
        </w:tc>
      </w:tr>
      <w:tr w:rsidR="0047752C" w:rsidRPr="00BD0FFE" w:rsidTr="0047752C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Робоча програма дисципліни</w:t>
            </w:r>
          </w:p>
        </w:tc>
      </w:tr>
      <w:tr w:rsidR="0047752C" w:rsidRPr="00BD0FFE" w:rsidTr="0047752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Лекції, лабораторні заняття</w:t>
            </w:r>
          </w:p>
        </w:tc>
      </w:tr>
      <w:tr w:rsidR="0047752C" w:rsidRPr="00BD0FFE" w:rsidTr="0047752C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Диференційний залік</w:t>
            </w:r>
          </w:p>
        </w:tc>
      </w:tr>
      <w:tr w:rsidR="0047752C" w:rsidRPr="00BD0FFE" w:rsidTr="0047752C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 w:rsidRPr="00E851B4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47752C" w:rsidRPr="00BD0FFE" w:rsidTr="0047752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7752C" w:rsidRPr="00E851B4" w:rsidRDefault="0047752C" w:rsidP="001B6E06">
            <w:pPr>
              <w:spacing w:after="0" w:line="240" w:lineRule="auto"/>
              <w:rPr>
                <w:rFonts w:ascii="Times New Roman" w:hAnsi="Times New Roman"/>
                <w:color w:val="0000FF"/>
                <w:lang w:val="uk-UA"/>
              </w:rPr>
            </w:pPr>
            <w:r w:rsidRPr="00E851B4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E851B4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752C" w:rsidRPr="00BD0FFE" w:rsidRDefault="0047752C" w:rsidP="00420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</w:tbl>
    <w:p w:rsidR="003E6A80" w:rsidRDefault="003E6A80" w:rsidP="0042041C">
      <w:pPr>
        <w:spacing w:after="0" w:line="240" w:lineRule="auto"/>
      </w:pPr>
    </w:p>
    <w:sectPr w:rsidR="003E6A80" w:rsidSect="003E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247"/>
    <w:multiLevelType w:val="hybridMultilevel"/>
    <w:tmpl w:val="3B7A3856"/>
    <w:lvl w:ilvl="0" w:tplc="6A20E4F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157FD"/>
    <w:rsid w:val="003E6A80"/>
    <w:rsid w:val="0042041C"/>
    <w:rsid w:val="0047752C"/>
    <w:rsid w:val="00C157FD"/>
    <w:rsid w:val="00E15A85"/>
    <w:rsid w:val="00E6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F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157FD"/>
  </w:style>
  <w:style w:type="paragraph" w:styleId="a3">
    <w:name w:val="List Paragraph"/>
    <w:basedOn w:val="a"/>
    <w:qFormat/>
    <w:rsid w:val="00C157F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C15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2021-09-07T05:34:00Z</dcterms:created>
  <dcterms:modified xsi:type="dcterms:W3CDTF">2021-09-07T05:34:00Z</dcterms:modified>
</cp:coreProperties>
</file>