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67CCF" w14:textId="77777777" w:rsidR="00CA6821" w:rsidRPr="00EB5D65" w:rsidRDefault="00CA6821" w:rsidP="005857B6">
      <w:pPr>
        <w:widowControl w:val="0"/>
        <w:spacing w:after="0" w:line="240" w:lineRule="auto"/>
        <w:jc w:val="center"/>
        <w:rPr>
          <w:rFonts w:ascii="Times New Roman" w:hAnsi="Times New Roman"/>
          <w:sz w:val="4"/>
          <w:szCs w:val="4"/>
          <w:lang w:val="uk-UA"/>
        </w:rPr>
      </w:pPr>
    </w:p>
    <w:p w14:paraId="714C746D" w14:textId="60041CE6" w:rsidR="00D5710A" w:rsidRDefault="00D5710A" w:rsidP="00D5710A">
      <w:pPr>
        <w:widowControl w:val="0"/>
        <w:spacing w:after="0" w:line="240" w:lineRule="auto"/>
        <w:jc w:val="center"/>
        <w:rPr>
          <w:rFonts w:ascii="Times New Roman" w:hAnsi="Times New Roman"/>
          <w:sz w:val="28"/>
          <w:szCs w:val="28"/>
          <w:lang w:val="uk-UA"/>
        </w:rPr>
      </w:pPr>
      <w:r>
        <w:rPr>
          <w:rFonts w:ascii="Times New Roman" w:hAnsi="Times New Roman"/>
          <w:sz w:val="28"/>
          <w:szCs w:val="28"/>
          <w:lang w:val="uk-UA"/>
        </w:rPr>
        <w:t>Опис вибіркової навчальної дисципліни</w:t>
      </w:r>
    </w:p>
    <w:tbl>
      <w:tblPr>
        <w:tblStyle w:val="a3"/>
        <w:tblW w:w="10205" w:type="dxa"/>
        <w:tblLook w:val="04A0" w:firstRow="1" w:lastRow="0" w:firstColumn="1" w:lastColumn="0" w:noHBand="0" w:noVBand="1"/>
      </w:tblPr>
      <w:tblGrid>
        <w:gridCol w:w="3936"/>
        <w:gridCol w:w="6269"/>
      </w:tblGrid>
      <w:tr w:rsidR="00D5710A" w14:paraId="2C1DD5C1" w14:textId="77777777" w:rsidTr="00D5710A">
        <w:tc>
          <w:tcPr>
            <w:tcW w:w="3936" w:type="dxa"/>
            <w:tcBorders>
              <w:top w:val="single" w:sz="4" w:space="0" w:color="auto"/>
              <w:left w:val="single" w:sz="4" w:space="0" w:color="auto"/>
              <w:bottom w:val="single" w:sz="4" w:space="0" w:color="auto"/>
              <w:right w:val="single" w:sz="4" w:space="0" w:color="auto"/>
            </w:tcBorders>
            <w:hideMark/>
          </w:tcPr>
          <w:p w14:paraId="2023ED22" w14:textId="77777777" w:rsidR="00D5710A" w:rsidRDefault="00D5710A">
            <w:pPr>
              <w:spacing w:line="240" w:lineRule="auto"/>
              <w:ind w:right="283"/>
              <w:rPr>
                <w:rFonts w:ascii="Times New Roman" w:eastAsiaTheme="minorHAnsi" w:hAnsi="Times New Roman"/>
                <w:sz w:val="24"/>
                <w:szCs w:val="24"/>
                <w:lang w:val="uk-UA"/>
              </w:rPr>
            </w:pPr>
            <w:r>
              <w:rPr>
                <w:rFonts w:ascii="Times New Roman" w:hAnsi="Times New Roman"/>
                <w:sz w:val="24"/>
                <w:szCs w:val="24"/>
                <w:lang w:val="uk-UA"/>
              </w:rPr>
              <w:t>Назва дисципліни</w:t>
            </w:r>
          </w:p>
        </w:tc>
        <w:tc>
          <w:tcPr>
            <w:tcW w:w="6269" w:type="dxa"/>
            <w:tcBorders>
              <w:top w:val="single" w:sz="4" w:space="0" w:color="auto"/>
              <w:left w:val="single" w:sz="4" w:space="0" w:color="auto"/>
              <w:bottom w:val="single" w:sz="4" w:space="0" w:color="auto"/>
              <w:right w:val="single" w:sz="4" w:space="0" w:color="auto"/>
            </w:tcBorders>
            <w:hideMark/>
          </w:tcPr>
          <w:p w14:paraId="1D4CF348"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Технології регулювання міжнародних відносин в умовах нестабільності</w:t>
            </w:r>
          </w:p>
        </w:tc>
      </w:tr>
      <w:tr w:rsidR="00D5710A" w14:paraId="1E8F40D0" w14:textId="77777777" w:rsidTr="00D5710A">
        <w:trPr>
          <w:trHeight w:val="567"/>
        </w:trPr>
        <w:tc>
          <w:tcPr>
            <w:tcW w:w="3936" w:type="dxa"/>
            <w:tcBorders>
              <w:top w:val="single" w:sz="4" w:space="0" w:color="auto"/>
              <w:left w:val="single" w:sz="4" w:space="0" w:color="auto"/>
              <w:bottom w:val="single" w:sz="4" w:space="0" w:color="auto"/>
              <w:right w:val="single" w:sz="4" w:space="0" w:color="auto"/>
            </w:tcBorders>
            <w:hideMark/>
          </w:tcPr>
          <w:p w14:paraId="0F9E1EFA"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Рекомендується для галузі знань</w:t>
            </w:r>
          </w:p>
          <w:p w14:paraId="40170E16"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(спеціальності, освітньої програми)</w:t>
            </w:r>
          </w:p>
        </w:tc>
        <w:tc>
          <w:tcPr>
            <w:tcW w:w="6269" w:type="dxa"/>
            <w:tcBorders>
              <w:top w:val="single" w:sz="4" w:space="0" w:color="auto"/>
              <w:left w:val="single" w:sz="4" w:space="0" w:color="auto"/>
              <w:bottom w:val="single" w:sz="4" w:space="0" w:color="auto"/>
              <w:right w:val="single" w:sz="4" w:space="0" w:color="auto"/>
            </w:tcBorders>
            <w:vAlign w:val="center"/>
            <w:hideMark/>
          </w:tcPr>
          <w:p w14:paraId="4F843919"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для усіх галузей знань</w:t>
            </w:r>
          </w:p>
        </w:tc>
      </w:tr>
      <w:tr w:rsidR="00D5710A" w14:paraId="6C334DDF" w14:textId="77777777" w:rsidTr="00D5710A">
        <w:tc>
          <w:tcPr>
            <w:tcW w:w="3936" w:type="dxa"/>
            <w:tcBorders>
              <w:top w:val="single" w:sz="4" w:space="0" w:color="auto"/>
              <w:left w:val="single" w:sz="4" w:space="0" w:color="auto"/>
              <w:bottom w:val="single" w:sz="4" w:space="0" w:color="auto"/>
              <w:right w:val="single" w:sz="4" w:space="0" w:color="auto"/>
            </w:tcBorders>
            <w:hideMark/>
          </w:tcPr>
          <w:p w14:paraId="78B61F09"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Кафедра</w:t>
            </w:r>
          </w:p>
        </w:tc>
        <w:tc>
          <w:tcPr>
            <w:tcW w:w="6269" w:type="dxa"/>
            <w:tcBorders>
              <w:top w:val="single" w:sz="4" w:space="0" w:color="auto"/>
              <w:left w:val="single" w:sz="4" w:space="0" w:color="auto"/>
              <w:bottom w:val="single" w:sz="4" w:space="0" w:color="auto"/>
              <w:right w:val="single" w:sz="4" w:space="0" w:color="auto"/>
            </w:tcBorders>
            <w:vAlign w:val="center"/>
            <w:hideMark/>
          </w:tcPr>
          <w:p w14:paraId="7DD1944D"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міжнародних відносин</w:t>
            </w:r>
          </w:p>
        </w:tc>
      </w:tr>
      <w:tr w:rsidR="00D5710A" w14:paraId="746FF36D" w14:textId="77777777" w:rsidTr="00D5710A">
        <w:tc>
          <w:tcPr>
            <w:tcW w:w="3936" w:type="dxa"/>
            <w:tcBorders>
              <w:top w:val="single" w:sz="4" w:space="0" w:color="auto"/>
              <w:left w:val="single" w:sz="4" w:space="0" w:color="auto"/>
              <w:bottom w:val="single" w:sz="4" w:space="0" w:color="auto"/>
              <w:right w:val="single" w:sz="4" w:space="0" w:color="auto"/>
            </w:tcBorders>
            <w:hideMark/>
          </w:tcPr>
          <w:p w14:paraId="073F669E"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П.І.Б. НПП (за можливості)</w:t>
            </w:r>
          </w:p>
        </w:tc>
        <w:tc>
          <w:tcPr>
            <w:tcW w:w="6269" w:type="dxa"/>
            <w:tcBorders>
              <w:top w:val="single" w:sz="4" w:space="0" w:color="auto"/>
              <w:left w:val="single" w:sz="4" w:space="0" w:color="auto"/>
              <w:bottom w:val="single" w:sz="4" w:space="0" w:color="auto"/>
              <w:right w:val="single" w:sz="4" w:space="0" w:color="auto"/>
            </w:tcBorders>
            <w:vAlign w:val="center"/>
            <w:hideMark/>
          </w:tcPr>
          <w:p w14:paraId="26505F97"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Іщенко Ігор Васильович</w:t>
            </w:r>
          </w:p>
        </w:tc>
      </w:tr>
      <w:tr w:rsidR="00D5710A" w14:paraId="4872342B" w14:textId="77777777" w:rsidTr="00D5710A">
        <w:tc>
          <w:tcPr>
            <w:tcW w:w="3936" w:type="dxa"/>
            <w:tcBorders>
              <w:top w:val="single" w:sz="4" w:space="0" w:color="auto"/>
              <w:left w:val="single" w:sz="4" w:space="0" w:color="auto"/>
              <w:bottom w:val="single" w:sz="4" w:space="0" w:color="auto"/>
              <w:right w:val="single" w:sz="4" w:space="0" w:color="auto"/>
            </w:tcBorders>
            <w:hideMark/>
          </w:tcPr>
          <w:p w14:paraId="05DA990F"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Рівень ВО</w:t>
            </w:r>
          </w:p>
        </w:tc>
        <w:tc>
          <w:tcPr>
            <w:tcW w:w="6269" w:type="dxa"/>
            <w:tcBorders>
              <w:top w:val="single" w:sz="4" w:space="0" w:color="auto"/>
              <w:left w:val="single" w:sz="4" w:space="0" w:color="auto"/>
              <w:bottom w:val="single" w:sz="4" w:space="0" w:color="auto"/>
              <w:right w:val="single" w:sz="4" w:space="0" w:color="auto"/>
            </w:tcBorders>
            <w:vAlign w:val="center"/>
            <w:hideMark/>
          </w:tcPr>
          <w:p w14:paraId="2E2E7CB0" w14:textId="2D54B344"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 xml:space="preserve">третій </w:t>
            </w:r>
            <w:r>
              <w:rPr>
                <w:rFonts w:ascii="Times New Roman" w:hAnsi="Times New Roman"/>
                <w:sz w:val="24"/>
                <w:szCs w:val="24"/>
              </w:rPr>
              <w:t>(</w:t>
            </w:r>
            <w:proofErr w:type="spellStart"/>
            <w:r>
              <w:rPr>
                <w:rFonts w:ascii="Times New Roman" w:hAnsi="Times New Roman"/>
                <w:sz w:val="24"/>
                <w:szCs w:val="24"/>
              </w:rPr>
              <w:t>освітньо-науковий</w:t>
            </w:r>
            <w:proofErr w:type="spellEnd"/>
            <w:r>
              <w:rPr>
                <w:rFonts w:ascii="Times New Roman" w:hAnsi="Times New Roman"/>
                <w:sz w:val="24"/>
                <w:szCs w:val="24"/>
              </w:rPr>
              <w:t>)</w:t>
            </w:r>
          </w:p>
        </w:tc>
      </w:tr>
      <w:tr w:rsidR="00D5710A" w14:paraId="56E370D6" w14:textId="77777777" w:rsidTr="00D5710A">
        <w:tc>
          <w:tcPr>
            <w:tcW w:w="3936" w:type="dxa"/>
            <w:tcBorders>
              <w:top w:val="single" w:sz="4" w:space="0" w:color="auto"/>
              <w:left w:val="single" w:sz="4" w:space="0" w:color="auto"/>
              <w:bottom w:val="single" w:sz="4" w:space="0" w:color="auto"/>
              <w:right w:val="single" w:sz="4" w:space="0" w:color="auto"/>
            </w:tcBorders>
            <w:hideMark/>
          </w:tcPr>
          <w:p w14:paraId="6048335B"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Курс на якому буде викладатись</w:t>
            </w:r>
          </w:p>
        </w:tc>
        <w:tc>
          <w:tcPr>
            <w:tcW w:w="6269" w:type="dxa"/>
            <w:tcBorders>
              <w:top w:val="single" w:sz="4" w:space="0" w:color="auto"/>
              <w:left w:val="single" w:sz="4" w:space="0" w:color="auto"/>
              <w:bottom w:val="single" w:sz="4" w:space="0" w:color="auto"/>
              <w:right w:val="single" w:sz="4" w:space="0" w:color="auto"/>
            </w:tcBorders>
            <w:vAlign w:val="center"/>
            <w:hideMark/>
          </w:tcPr>
          <w:p w14:paraId="4CE70CD0" w14:textId="1646929C" w:rsidR="00D5710A" w:rsidRDefault="00D5710A">
            <w:pPr>
              <w:spacing w:line="240" w:lineRule="auto"/>
              <w:ind w:right="283"/>
              <w:rPr>
                <w:rFonts w:ascii="Times New Roman" w:hAnsi="Times New Roman"/>
                <w:sz w:val="24"/>
                <w:szCs w:val="24"/>
                <w:lang w:val="en-US"/>
              </w:rPr>
            </w:pPr>
            <w:r>
              <w:rPr>
                <w:rFonts w:ascii="Times New Roman" w:hAnsi="Times New Roman"/>
                <w:sz w:val="24"/>
                <w:szCs w:val="24"/>
                <w:lang w:val="uk-UA"/>
              </w:rPr>
              <w:t xml:space="preserve">1 </w:t>
            </w:r>
            <w:r>
              <w:rPr>
                <w:rFonts w:ascii="Times New Roman" w:hAnsi="Times New Roman"/>
                <w:sz w:val="24"/>
                <w:szCs w:val="24"/>
                <w:lang w:val="uk-UA"/>
              </w:rPr>
              <w:t>або 2</w:t>
            </w:r>
          </w:p>
        </w:tc>
      </w:tr>
      <w:tr w:rsidR="00D5710A" w14:paraId="70042474" w14:textId="77777777" w:rsidTr="00D5710A">
        <w:tc>
          <w:tcPr>
            <w:tcW w:w="3936" w:type="dxa"/>
            <w:tcBorders>
              <w:top w:val="single" w:sz="4" w:space="0" w:color="auto"/>
              <w:left w:val="single" w:sz="4" w:space="0" w:color="auto"/>
              <w:bottom w:val="single" w:sz="4" w:space="0" w:color="auto"/>
              <w:right w:val="single" w:sz="4" w:space="0" w:color="auto"/>
            </w:tcBorders>
            <w:hideMark/>
          </w:tcPr>
          <w:p w14:paraId="6E6CA372"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Мова викладання</w:t>
            </w:r>
          </w:p>
        </w:tc>
        <w:tc>
          <w:tcPr>
            <w:tcW w:w="6269" w:type="dxa"/>
            <w:tcBorders>
              <w:top w:val="single" w:sz="4" w:space="0" w:color="auto"/>
              <w:left w:val="single" w:sz="4" w:space="0" w:color="auto"/>
              <w:bottom w:val="single" w:sz="4" w:space="0" w:color="auto"/>
              <w:right w:val="single" w:sz="4" w:space="0" w:color="auto"/>
            </w:tcBorders>
            <w:vAlign w:val="center"/>
            <w:hideMark/>
          </w:tcPr>
          <w:p w14:paraId="58C74738"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українська</w:t>
            </w:r>
          </w:p>
        </w:tc>
      </w:tr>
      <w:tr w:rsidR="00D5710A" w14:paraId="23B2EB12" w14:textId="77777777" w:rsidTr="00D5710A">
        <w:tc>
          <w:tcPr>
            <w:tcW w:w="3936" w:type="dxa"/>
            <w:tcBorders>
              <w:top w:val="single" w:sz="4" w:space="0" w:color="auto"/>
              <w:left w:val="single" w:sz="4" w:space="0" w:color="auto"/>
              <w:bottom w:val="single" w:sz="4" w:space="0" w:color="auto"/>
              <w:right w:val="single" w:sz="4" w:space="0" w:color="auto"/>
            </w:tcBorders>
            <w:hideMark/>
          </w:tcPr>
          <w:p w14:paraId="69F772AB"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Вимоги до початку вивчення дисципліни</w:t>
            </w:r>
          </w:p>
        </w:tc>
        <w:tc>
          <w:tcPr>
            <w:tcW w:w="6269" w:type="dxa"/>
            <w:tcBorders>
              <w:top w:val="single" w:sz="4" w:space="0" w:color="auto"/>
              <w:left w:val="single" w:sz="4" w:space="0" w:color="auto"/>
              <w:bottom w:val="single" w:sz="4" w:space="0" w:color="auto"/>
              <w:right w:val="single" w:sz="4" w:space="0" w:color="auto"/>
            </w:tcBorders>
            <w:vAlign w:val="center"/>
            <w:hideMark/>
          </w:tcPr>
          <w:p w14:paraId="54F70620"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немає</w:t>
            </w:r>
          </w:p>
        </w:tc>
      </w:tr>
      <w:tr w:rsidR="00D5710A" w14:paraId="2BDC04CC" w14:textId="77777777" w:rsidTr="00D5710A">
        <w:tc>
          <w:tcPr>
            <w:tcW w:w="3936" w:type="dxa"/>
            <w:tcBorders>
              <w:top w:val="single" w:sz="4" w:space="0" w:color="auto"/>
              <w:left w:val="single" w:sz="4" w:space="0" w:color="auto"/>
              <w:bottom w:val="single" w:sz="4" w:space="0" w:color="auto"/>
              <w:right w:val="single" w:sz="4" w:space="0" w:color="auto"/>
            </w:tcBorders>
            <w:hideMark/>
          </w:tcPr>
          <w:p w14:paraId="21F0C52B"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Що буде вивчатися</w:t>
            </w:r>
          </w:p>
        </w:tc>
        <w:tc>
          <w:tcPr>
            <w:tcW w:w="6269" w:type="dxa"/>
            <w:tcBorders>
              <w:top w:val="single" w:sz="4" w:space="0" w:color="auto"/>
              <w:left w:val="single" w:sz="4" w:space="0" w:color="auto"/>
              <w:bottom w:val="single" w:sz="4" w:space="0" w:color="auto"/>
              <w:right w:val="single" w:sz="4" w:space="0" w:color="auto"/>
            </w:tcBorders>
            <w:vAlign w:val="center"/>
            <w:hideMark/>
          </w:tcPr>
          <w:p w14:paraId="2CC8BBDE" w14:textId="77777777" w:rsidR="00D5710A" w:rsidRDefault="00D5710A">
            <w:pPr>
              <w:spacing w:line="240" w:lineRule="auto"/>
              <w:jc w:val="both"/>
              <w:rPr>
                <w:rFonts w:ascii="Times New Roman" w:hAnsi="Times New Roman"/>
                <w:sz w:val="24"/>
                <w:szCs w:val="24"/>
                <w:lang w:val="uk-UA"/>
              </w:rPr>
            </w:pPr>
            <w:r>
              <w:rPr>
                <w:rFonts w:ascii="Times New Roman" w:hAnsi="Times New Roman"/>
                <w:sz w:val="24"/>
                <w:szCs w:val="24"/>
                <w:lang w:val="uk-UA"/>
              </w:rPr>
              <w:t xml:space="preserve">Міжнародні відносини як об’єкт дослідження у контексті нестабільності: сучасна методика та її аргументація. Наукові підходи до критеріїв політичної та економічної нестабільності. Моделювання міжнародних відносин як важливий науковий метод дослідження в контексті сучасних умов. Конгруентність ментального простору як показник стабільності/нестабільності. </w:t>
            </w:r>
            <w:proofErr w:type="spellStart"/>
            <w:r>
              <w:rPr>
                <w:rFonts w:ascii="Times New Roman" w:hAnsi="Times New Roman"/>
                <w:sz w:val="24"/>
                <w:szCs w:val="24"/>
                <w:lang w:val="uk-UA"/>
              </w:rPr>
              <w:t>Синергетика</w:t>
            </w:r>
            <w:proofErr w:type="spellEnd"/>
            <w:r>
              <w:rPr>
                <w:rFonts w:ascii="Times New Roman" w:hAnsi="Times New Roman"/>
                <w:sz w:val="24"/>
                <w:szCs w:val="24"/>
                <w:lang w:val="uk-UA"/>
              </w:rPr>
              <w:t xml:space="preserve"> як теоретична основа дослідження. Особливість режиму з загостренням. Вирішальні флуктуації, </w:t>
            </w:r>
            <w:proofErr w:type="spellStart"/>
            <w:r>
              <w:rPr>
                <w:rFonts w:ascii="Times New Roman" w:hAnsi="Times New Roman"/>
                <w:sz w:val="24"/>
                <w:szCs w:val="24"/>
                <w:lang w:val="uk-UA"/>
              </w:rPr>
              <w:t>біфуркаційні</w:t>
            </w:r>
            <w:proofErr w:type="spellEnd"/>
            <w:r>
              <w:rPr>
                <w:rFonts w:ascii="Times New Roman" w:hAnsi="Times New Roman"/>
                <w:sz w:val="24"/>
                <w:szCs w:val="24"/>
                <w:lang w:val="uk-UA"/>
              </w:rPr>
              <w:t xml:space="preserve"> процеси і зони, чинники-</w:t>
            </w:r>
            <w:proofErr w:type="spellStart"/>
            <w:r>
              <w:rPr>
                <w:rFonts w:ascii="Times New Roman" w:hAnsi="Times New Roman"/>
                <w:sz w:val="24"/>
                <w:szCs w:val="24"/>
                <w:lang w:val="uk-UA"/>
              </w:rPr>
              <w:t>аттрактори</w:t>
            </w:r>
            <w:proofErr w:type="spellEnd"/>
            <w:r>
              <w:rPr>
                <w:rFonts w:ascii="Times New Roman" w:hAnsi="Times New Roman"/>
                <w:sz w:val="24"/>
                <w:szCs w:val="24"/>
                <w:lang w:val="uk-UA"/>
              </w:rPr>
              <w:t>, дисипативні структури, роль соціальної ентропії. Конструктивізм як теоретико-</w:t>
            </w:r>
            <w:proofErr w:type="spellStart"/>
            <w:r>
              <w:rPr>
                <w:rFonts w:ascii="Times New Roman" w:hAnsi="Times New Roman"/>
                <w:sz w:val="24"/>
                <w:szCs w:val="24"/>
                <w:lang w:val="uk-UA"/>
              </w:rPr>
              <w:t>праксеологічна</w:t>
            </w:r>
            <w:proofErr w:type="spellEnd"/>
            <w:r>
              <w:rPr>
                <w:rFonts w:ascii="Times New Roman" w:hAnsi="Times New Roman"/>
                <w:sz w:val="24"/>
                <w:szCs w:val="24"/>
                <w:lang w:val="uk-UA"/>
              </w:rPr>
              <w:t xml:space="preserve"> база виходу з нестабільності.</w:t>
            </w:r>
          </w:p>
        </w:tc>
      </w:tr>
      <w:tr w:rsidR="00D5710A" w14:paraId="1775CF86" w14:textId="77777777" w:rsidTr="00D5710A">
        <w:tc>
          <w:tcPr>
            <w:tcW w:w="3936" w:type="dxa"/>
            <w:tcBorders>
              <w:top w:val="single" w:sz="4" w:space="0" w:color="auto"/>
              <w:left w:val="single" w:sz="4" w:space="0" w:color="auto"/>
              <w:bottom w:val="single" w:sz="4" w:space="0" w:color="auto"/>
              <w:right w:val="single" w:sz="4" w:space="0" w:color="auto"/>
            </w:tcBorders>
            <w:hideMark/>
          </w:tcPr>
          <w:p w14:paraId="32B0D516"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Чому це цікаво/треба вивчати</w:t>
            </w:r>
          </w:p>
        </w:tc>
        <w:tc>
          <w:tcPr>
            <w:tcW w:w="6269" w:type="dxa"/>
            <w:tcBorders>
              <w:top w:val="single" w:sz="4" w:space="0" w:color="auto"/>
              <w:left w:val="single" w:sz="4" w:space="0" w:color="auto"/>
              <w:bottom w:val="single" w:sz="4" w:space="0" w:color="auto"/>
              <w:right w:val="single" w:sz="4" w:space="0" w:color="auto"/>
            </w:tcBorders>
            <w:vAlign w:val="center"/>
            <w:hideMark/>
          </w:tcPr>
          <w:p w14:paraId="44EB71B4" w14:textId="77777777" w:rsidR="00D5710A" w:rsidRDefault="00D5710A">
            <w:pPr>
              <w:tabs>
                <w:tab w:val="left" w:pos="567"/>
              </w:tabs>
              <w:spacing w:line="240" w:lineRule="auto"/>
              <w:jc w:val="both"/>
              <w:rPr>
                <w:rFonts w:ascii="Times New Roman" w:hAnsi="Times New Roman"/>
                <w:sz w:val="24"/>
                <w:szCs w:val="24"/>
                <w:lang w:val="uk-UA"/>
              </w:rPr>
            </w:pPr>
            <w:r>
              <w:rPr>
                <w:rFonts w:ascii="Times New Roman" w:hAnsi="Times New Roman"/>
                <w:sz w:val="24"/>
                <w:szCs w:val="24"/>
                <w:lang w:val="uk-UA"/>
              </w:rPr>
              <w:t>Третє десятиліття 21-го століття характеризується різким протистоянням країн на міжнародній арені, підвищеною конфліктністю. Дослідницька практика сучасності дедалі більше фокусуватиметься на науковому поясненні виходу зі складної ситуації, розглядаючи різні аспекти міжнародних відносин, що неможливо без оволодіння запропонованою науковою проблематикою.</w:t>
            </w:r>
          </w:p>
        </w:tc>
      </w:tr>
      <w:tr w:rsidR="00D5710A" w14:paraId="17CFD78A" w14:textId="77777777" w:rsidTr="00D5710A">
        <w:tc>
          <w:tcPr>
            <w:tcW w:w="3936" w:type="dxa"/>
            <w:tcBorders>
              <w:top w:val="single" w:sz="4" w:space="0" w:color="auto"/>
              <w:left w:val="single" w:sz="4" w:space="0" w:color="auto"/>
              <w:bottom w:val="single" w:sz="4" w:space="0" w:color="auto"/>
              <w:right w:val="single" w:sz="4" w:space="0" w:color="auto"/>
            </w:tcBorders>
            <w:hideMark/>
          </w:tcPr>
          <w:p w14:paraId="1DA705F3"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Чому можна навчитися (результати навчання)</w:t>
            </w:r>
          </w:p>
        </w:tc>
        <w:tc>
          <w:tcPr>
            <w:tcW w:w="6269" w:type="dxa"/>
            <w:tcBorders>
              <w:top w:val="single" w:sz="4" w:space="0" w:color="auto"/>
              <w:left w:val="single" w:sz="4" w:space="0" w:color="auto"/>
              <w:bottom w:val="single" w:sz="4" w:space="0" w:color="auto"/>
              <w:right w:val="single" w:sz="4" w:space="0" w:color="auto"/>
            </w:tcBorders>
            <w:hideMark/>
          </w:tcPr>
          <w:p w14:paraId="2B9BEC95" w14:textId="77777777" w:rsidR="00D5710A" w:rsidRDefault="00D5710A">
            <w:pPr>
              <w:widowControl w:val="0"/>
              <w:spacing w:line="240" w:lineRule="auto"/>
              <w:jc w:val="both"/>
              <w:rPr>
                <w:rFonts w:ascii="Times New Roman" w:hAnsi="Times New Roman"/>
                <w:sz w:val="24"/>
                <w:szCs w:val="24"/>
                <w:lang w:val="uk-UA"/>
              </w:rPr>
            </w:pPr>
            <w:r>
              <w:rPr>
                <w:rFonts w:ascii="Times New Roman" w:hAnsi="Times New Roman"/>
                <w:color w:val="000000"/>
                <w:sz w:val="24"/>
                <w:szCs w:val="24"/>
                <w:lang w:val="uk-UA"/>
              </w:rPr>
              <w:t>Сформувати у здобувачів освіти поглиблені знання про ключові теорії, концепції і методи дослідження міжнародних безпекових проблем, управління та врегулювання міжнародних конфліктів в сучасному світі.</w:t>
            </w:r>
          </w:p>
        </w:tc>
      </w:tr>
      <w:tr w:rsidR="00D5710A" w14:paraId="08197B91" w14:textId="77777777" w:rsidTr="00D5710A">
        <w:tc>
          <w:tcPr>
            <w:tcW w:w="3936" w:type="dxa"/>
            <w:tcBorders>
              <w:top w:val="single" w:sz="4" w:space="0" w:color="auto"/>
              <w:left w:val="single" w:sz="4" w:space="0" w:color="auto"/>
              <w:bottom w:val="single" w:sz="4" w:space="0" w:color="auto"/>
              <w:right w:val="single" w:sz="4" w:space="0" w:color="auto"/>
            </w:tcBorders>
            <w:hideMark/>
          </w:tcPr>
          <w:p w14:paraId="1B8C8095"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Як можна користуватися набутими знаннями і уміннями (компетентності)</w:t>
            </w:r>
          </w:p>
        </w:tc>
        <w:tc>
          <w:tcPr>
            <w:tcW w:w="6269" w:type="dxa"/>
            <w:tcBorders>
              <w:top w:val="single" w:sz="4" w:space="0" w:color="auto"/>
              <w:left w:val="single" w:sz="4" w:space="0" w:color="auto"/>
              <w:bottom w:val="single" w:sz="4" w:space="0" w:color="auto"/>
              <w:right w:val="single" w:sz="4" w:space="0" w:color="auto"/>
            </w:tcBorders>
            <w:vAlign w:val="center"/>
            <w:hideMark/>
          </w:tcPr>
          <w:p w14:paraId="782D977D" w14:textId="77777777" w:rsidR="00D5710A" w:rsidRDefault="00D5710A">
            <w:pPr>
              <w:widowControl w:val="0"/>
              <w:spacing w:line="240" w:lineRule="auto"/>
              <w:jc w:val="both"/>
              <w:rPr>
                <w:rFonts w:ascii="Times New Roman" w:hAnsi="Times New Roman"/>
                <w:bCs/>
                <w:sz w:val="24"/>
                <w:szCs w:val="24"/>
                <w:lang w:val="uk-UA"/>
              </w:rPr>
            </w:pPr>
            <w:r>
              <w:rPr>
                <w:rFonts w:ascii="Times New Roman" w:hAnsi="Times New Roman"/>
                <w:bCs/>
                <w:sz w:val="24"/>
                <w:szCs w:val="24"/>
                <w:lang w:val="uk-UA"/>
              </w:rPr>
              <w:t>Вивчення дисципліни спрямоване на формування умінь та навичок висувати пропозиції та обґрунтовувати рішення з розв’язання проблемних питань глобального розвитку, міжнародних відносин, міжнародної та національної безпеки (зокрема, міжнародних та внутрішньодержавних конфліктів).</w:t>
            </w:r>
          </w:p>
        </w:tc>
      </w:tr>
      <w:tr w:rsidR="00D5710A" w14:paraId="31AE8F40" w14:textId="77777777" w:rsidTr="00D5710A">
        <w:tc>
          <w:tcPr>
            <w:tcW w:w="3936" w:type="dxa"/>
            <w:tcBorders>
              <w:top w:val="single" w:sz="4" w:space="0" w:color="auto"/>
              <w:left w:val="single" w:sz="4" w:space="0" w:color="auto"/>
              <w:bottom w:val="single" w:sz="4" w:space="0" w:color="auto"/>
              <w:right w:val="single" w:sz="4" w:space="0" w:color="auto"/>
            </w:tcBorders>
            <w:hideMark/>
          </w:tcPr>
          <w:p w14:paraId="54A6258B"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 xml:space="preserve">Інформаційне забезпечення </w:t>
            </w:r>
          </w:p>
        </w:tc>
        <w:tc>
          <w:tcPr>
            <w:tcW w:w="6269" w:type="dxa"/>
            <w:tcBorders>
              <w:top w:val="single" w:sz="4" w:space="0" w:color="auto"/>
              <w:left w:val="single" w:sz="4" w:space="0" w:color="auto"/>
              <w:bottom w:val="single" w:sz="4" w:space="0" w:color="auto"/>
              <w:right w:val="single" w:sz="4" w:space="0" w:color="auto"/>
            </w:tcBorders>
            <w:hideMark/>
          </w:tcPr>
          <w:p w14:paraId="04FB245C"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НМК дисципліни</w:t>
            </w:r>
          </w:p>
        </w:tc>
      </w:tr>
      <w:tr w:rsidR="00D5710A" w14:paraId="1CCCDBA2" w14:textId="77777777" w:rsidTr="00D5710A">
        <w:tc>
          <w:tcPr>
            <w:tcW w:w="3936" w:type="dxa"/>
            <w:tcBorders>
              <w:top w:val="single" w:sz="4" w:space="0" w:color="auto"/>
              <w:left w:val="single" w:sz="4" w:space="0" w:color="auto"/>
              <w:bottom w:val="single" w:sz="4" w:space="0" w:color="auto"/>
              <w:right w:val="single" w:sz="4" w:space="0" w:color="auto"/>
            </w:tcBorders>
            <w:hideMark/>
          </w:tcPr>
          <w:p w14:paraId="10BA5C13"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Види навчальних занять (лекції, практичні, семінарські, лабораторні заняття тощо)</w:t>
            </w:r>
          </w:p>
        </w:tc>
        <w:tc>
          <w:tcPr>
            <w:tcW w:w="6269" w:type="dxa"/>
            <w:tcBorders>
              <w:top w:val="single" w:sz="4" w:space="0" w:color="auto"/>
              <w:left w:val="single" w:sz="4" w:space="0" w:color="auto"/>
              <w:bottom w:val="single" w:sz="4" w:space="0" w:color="auto"/>
              <w:right w:val="single" w:sz="4" w:space="0" w:color="auto"/>
            </w:tcBorders>
            <w:vAlign w:val="center"/>
            <w:hideMark/>
          </w:tcPr>
          <w:p w14:paraId="586B05DD"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Лекції, семінарські / практичні заняття</w:t>
            </w:r>
          </w:p>
        </w:tc>
      </w:tr>
      <w:tr w:rsidR="00D5710A" w14:paraId="574F8B4F" w14:textId="77777777" w:rsidTr="00D5710A">
        <w:tc>
          <w:tcPr>
            <w:tcW w:w="3936" w:type="dxa"/>
            <w:tcBorders>
              <w:top w:val="single" w:sz="4" w:space="0" w:color="auto"/>
              <w:left w:val="single" w:sz="4" w:space="0" w:color="auto"/>
              <w:bottom w:val="single" w:sz="4" w:space="0" w:color="auto"/>
              <w:right w:val="single" w:sz="4" w:space="0" w:color="auto"/>
            </w:tcBorders>
            <w:hideMark/>
          </w:tcPr>
          <w:p w14:paraId="7A12A25A"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Вид семестрового контролю</w:t>
            </w:r>
          </w:p>
        </w:tc>
        <w:tc>
          <w:tcPr>
            <w:tcW w:w="6269" w:type="dxa"/>
            <w:tcBorders>
              <w:top w:val="single" w:sz="4" w:space="0" w:color="auto"/>
              <w:left w:val="single" w:sz="4" w:space="0" w:color="auto"/>
              <w:bottom w:val="single" w:sz="4" w:space="0" w:color="auto"/>
              <w:right w:val="single" w:sz="4" w:space="0" w:color="auto"/>
            </w:tcBorders>
            <w:hideMark/>
          </w:tcPr>
          <w:p w14:paraId="37EB41FE" w14:textId="77777777" w:rsidR="00D5710A" w:rsidRDefault="00D5710A">
            <w:pPr>
              <w:spacing w:line="240" w:lineRule="auto"/>
              <w:ind w:right="283"/>
              <w:rPr>
                <w:rFonts w:ascii="Times New Roman" w:hAnsi="Times New Roman"/>
                <w:sz w:val="24"/>
                <w:szCs w:val="24"/>
                <w:lang w:val="uk-UA"/>
              </w:rPr>
            </w:pPr>
            <w:proofErr w:type="spellStart"/>
            <w:r>
              <w:rPr>
                <w:rFonts w:ascii="Times New Roman" w:hAnsi="Times New Roman"/>
                <w:sz w:val="24"/>
                <w:szCs w:val="24"/>
                <w:lang w:val="uk-UA"/>
              </w:rPr>
              <w:t>Диф</w:t>
            </w:r>
            <w:proofErr w:type="spellEnd"/>
            <w:r>
              <w:rPr>
                <w:rFonts w:ascii="Times New Roman" w:hAnsi="Times New Roman"/>
                <w:sz w:val="24"/>
                <w:szCs w:val="24"/>
                <w:lang w:val="uk-UA"/>
              </w:rPr>
              <w:t>. залік</w:t>
            </w:r>
          </w:p>
        </w:tc>
      </w:tr>
      <w:tr w:rsidR="00D5710A" w14:paraId="1DE21286" w14:textId="77777777" w:rsidTr="00D5710A">
        <w:tc>
          <w:tcPr>
            <w:tcW w:w="3936" w:type="dxa"/>
            <w:tcBorders>
              <w:top w:val="single" w:sz="4" w:space="0" w:color="auto"/>
              <w:left w:val="single" w:sz="4" w:space="0" w:color="auto"/>
              <w:bottom w:val="single" w:sz="4" w:space="0" w:color="auto"/>
              <w:right w:val="single" w:sz="4" w:space="0" w:color="auto"/>
            </w:tcBorders>
            <w:hideMark/>
          </w:tcPr>
          <w:p w14:paraId="21A02DF8"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Максимальна кількість здобувачів</w:t>
            </w:r>
          </w:p>
        </w:tc>
        <w:tc>
          <w:tcPr>
            <w:tcW w:w="6269" w:type="dxa"/>
            <w:tcBorders>
              <w:top w:val="single" w:sz="4" w:space="0" w:color="auto"/>
              <w:left w:val="single" w:sz="4" w:space="0" w:color="auto"/>
              <w:bottom w:val="single" w:sz="4" w:space="0" w:color="auto"/>
              <w:right w:val="single" w:sz="4" w:space="0" w:color="auto"/>
            </w:tcBorders>
            <w:hideMark/>
          </w:tcPr>
          <w:p w14:paraId="19103586" w14:textId="288829E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20</w:t>
            </w:r>
          </w:p>
        </w:tc>
      </w:tr>
      <w:tr w:rsidR="00D5710A" w14:paraId="0AF9D2BB" w14:textId="77777777" w:rsidTr="00D5710A">
        <w:tc>
          <w:tcPr>
            <w:tcW w:w="3936" w:type="dxa"/>
            <w:tcBorders>
              <w:top w:val="single" w:sz="4" w:space="0" w:color="auto"/>
              <w:left w:val="single" w:sz="4" w:space="0" w:color="auto"/>
              <w:bottom w:val="single" w:sz="4" w:space="0" w:color="auto"/>
              <w:right w:val="single" w:sz="4" w:space="0" w:color="auto"/>
            </w:tcBorders>
            <w:hideMark/>
          </w:tcPr>
          <w:p w14:paraId="04ED650B" w14:textId="77777777"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Мінімальна кількість здобувачів</w:t>
            </w:r>
          </w:p>
        </w:tc>
        <w:tc>
          <w:tcPr>
            <w:tcW w:w="6269" w:type="dxa"/>
            <w:tcBorders>
              <w:top w:val="single" w:sz="4" w:space="0" w:color="auto"/>
              <w:left w:val="single" w:sz="4" w:space="0" w:color="auto"/>
              <w:bottom w:val="single" w:sz="4" w:space="0" w:color="auto"/>
              <w:right w:val="single" w:sz="4" w:space="0" w:color="auto"/>
            </w:tcBorders>
            <w:hideMark/>
          </w:tcPr>
          <w:p w14:paraId="2249F99D" w14:textId="72264ADC" w:rsidR="00D5710A" w:rsidRDefault="00D5710A">
            <w:pPr>
              <w:spacing w:line="240" w:lineRule="auto"/>
              <w:ind w:right="283"/>
              <w:rPr>
                <w:rFonts w:ascii="Times New Roman" w:hAnsi="Times New Roman"/>
                <w:sz w:val="24"/>
                <w:szCs w:val="24"/>
                <w:lang w:val="uk-UA"/>
              </w:rPr>
            </w:pPr>
            <w:r>
              <w:rPr>
                <w:rFonts w:ascii="Times New Roman" w:hAnsi="Times New Roman"/>
                <w:sz w:val="24"/>
                <w:szCs w:val="24"/>
                <w:lang w:val="uk-UA"/>
              </w:rPr>
              <w:t>2</w:t>
            </w:r>
          </w:p>
        </w:tc>
      </w:tr>
    </w:tbl>
    <w:p w14:paraId="18D58856" w14:textId="77777777" w:rsidR="00D5710A" w:rsidRDefault="00D5710A" w:rsidP="00D5710A">
      <w:pPr>
        <w:widowControl w:val="0"/>
        <w:spacing w:after="0" w:line="240" w:lineRule="auto"/>
        <w:jc w:val="center"/>
        <w:rPr>
          <w:rFonts w:ascii="Times New Roman" w:hAnsi="Times New Roman"/>
          <w:sz w:val="4"/>
          <w:szCs w:val="4"/>
          <w:lang w:val="uk-UA"/>
        </w:rPr>
      </w:pPr>
    </w:p>
    <w:p w14:paraId="47BCD593" w14:textId="77777777" w:rsidR="00517CD4" w:rsidRPr="00EB5D65" w:rsidRDefault="00517CD4" w:rsidP="00EB5D65">
      <w:pPr>
        <w:widowControl w:val="0"/>
        <w:spacing w:after="0" w:line="240" w:lineRule="auto"/>
        <w:rPr>
          <w:rFonts w:ascii="Times New Roman" w:hAnsi="Times New Roman"/>
          <w:sz w:val="4"/>
          <w:szCs w:val="4"/>
          <w:lang w:val="uk-UA"/>
        </w:rPr>
      </w:pPr>
    </w:p>
    <w:sectPr w:rsidR="00517CD4" w:rsidRPr="00EB5D65" w:rsidSect="00EB5D6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44F99"/>
    <w:multiLevelType w:val="hybridMultilevel"/>
    <w:tmpl w:val="59AED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7A51FC"/>
    <w:multiLevelType w:val="hybridMultilevel"/>
    <w:tmpl w:val="BD8AEF64"/>
    <w:lvl w:ilvl="0" w:tplc="4084785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1F41AAD"/>
    <w:multiLevelType w:val="hybridMultilevel"/>
    <w:tmpl w:val="3ECA3C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EFE2281"/>
    <w:multiLevelType w:val="hybridMultilevel"/>
    <w:tmpl w:val="3CB8B114"/>
    <w:lvl w:ilvl="0" w:tplc="20000001">
      <w:start w:val="1"/>
      <w:numFmt w:val="bullet"/>
      <w:lvlText w:val=""/>
      <w:lvlJc w:val="left"/>
      <w:pPr>
        <w:ind w:left="1179" w:hanging="360"/>
      </w:pPr>
      <w:rPr>
        <w:rFonts w:ascii="Symbol" w:hAnsi="Symbol" w:hint="default"/>
      </w:rPr>
    </w:lvl>
    <w:lvl w:ilvl="1" w:tplc="20000003" w:tentative="1">
      <w:start w:val="1"/>
      <w:numFmt w:val="bullet"/>
      <w:lvlText w:val="o"/>
      <w:lvlJc w:val="left"/>
      <w:pPr>
        <w:ind w:left="1899" w:hanging="360"/>
      </w:pPr>
      <w:rPr>
        <w:rFonts w:ascii="Courier New" w:hAnsi="Courier New" w:cs="Courier New" w:hint="default"/>
      </w:rPr>
    </w:lvl>
    <w:lvl w:ilvl="2" w:tplc="20000005" w:tentative="1">
      <w:start w:val="1"/>
      <w:numFmt w:val="bullet"/>
      <w:lvlText w:val=""/>
      <w:lvlJc w:val="left"/>
      <w:pPr>
        <w:ind w:left="2619" w:hanging="360"/>
      </w:pPr>
      <w:rPr>
        <w:rFonts w:ascii="Wingdings" w:hAnsi="Wingdings" w:hint="default"/>
      </w:rPr>
    </w:lvl>
    <w:lvl w:ilvl="3" w:tplc="20000001" w:tentative="1">
      <w:start w:val="1"/>
      <w:numFmt w:val="bullet"/>
      <w:lvlText w:val=""/>
      <w:lvlJc w:val="left"/>
      <w:pPr>
        <w:ind w:left="3339" w:hanging="360"/>
      </w:pPr>
      <w:rPr>
        <w:rFonts w:ascii="Symbol" w:hAnsi="Symbol" w:hint="default"/>
      </w:rPr>
    </w:lvl>
    <w:lvl w:ilvl="4" w:tplc="20000003" w:tentative="1">
      <w:start w:val="1"/>
      <w:numFmt w:val="bullet"/>
      <w:lvlText w:val="o"/>
      <w:lvlJc w:val="left"/>
      <w:pPr>
        <w:ind w:left="4059" w:hanging="360"/>
      </w:pPr>
      <w:rPr>
        <w:rFonts w:ascii="Courier New" w:hAnsi="Courier New" w:cs="Courier New" w:hint="default"/>
      </w:rPr>
    </w:lvl>
    <w:lvl w:ilvl="5" w:tplc="20000005" w:tentative="1">
      <w:start w:val="1"/>
      <w:numFmt w:val="bullet"/>
      <w:lvlText w:val=""/>
      <w:lvlJc w:val="left"/>
      <w:pPr>
        <w:ind w:left="4779" w:hanging="360"/>
      </w:pPr>
      <w:rPr>
        <w:rFonts w:ascii="Wingdings" w:hAnsi="Wingdings" w:hint="default"/>
      </w:rPr>
    </w:lvl>
    <w:lvl w:ilvl="6" w:tplc="20000001" w:tentative="1">
      <w:start w:val="1"/>
      <w:numFmt w:val="bullet"/>
      <w:lvlText w:val=""/>
      <w:lvlJc w:val="left"/>
      <w:pPr>
        <w:ind w:left="5499" w:hanging="360"/>
      </w:pPr>
      <w:rPr>
        <w:rFonts w:ascii="Symbol" w:hAnsi="Symbol" w:hint="default"/>
      </w:rPr>
    </w:lvl>
    <w:lvl w:ilvl="7" w:tplc="20000003" w:tentative="1">
      <w:start w:val="1"/>
      <w:numFmt w:val="bullet"/>
      <w:lvlText w:val="o"/>
      <w:lvlJc w:val="left"/>
      <w:pPr>
        <w:ind w:left="6219" w:hanging="360"/>
      </w:pPr>
      <w:rPr>
        <w:rFonts w:ascii="Courier New" w:hAnsi="Courier New" w:cs="Courier New" w:hint="default"/>
      </w:rPr>
    </w:lvl>
    <w:lvl w:ilvl="8" w:tplc="20000005" w:tentative="1">
      <w:start w:val="1"/>
      <w:numFmt w:val="bullet"/>
      <w:lvlText w:val=""/>
      <w:lvlJc w:val="left"/>
      <w:pPr>
        <w:ind w:left="6939" w:hanging="360"/>
      </w:pPr>
      <w:rPr>
        <w:rFonts w:ascii="Wingdings" w:hAnsi="Wingdings" w:hint="default"/>
      </w:rPr>
    </w:lvl>
  </w:abstractNum>
  <w:abstractNum w:abstractNumId="4" w15:restartNumberingAfterBreak="0">
    <w:nsid w:val="7F040D61"/>
    <w:multiLevelType w:val="hybridMultilevel"/>
    <w:tmpl w:val="E3BAD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8736062">
    <w:abstractNumId w:val="3"/>
  </w:num>
  <w:num w:numId="2" w16cid:durableId="1544907680">
    <w:abstractNumId w:val="1"/>
  </w:num>
  <w:num w:numId="3" w16cid:durableId="1353452341">
    <w:abstractNumId w:val="2"/>
  </w:num>
  <w:num w:numId="4" w16cid:durableId="268781493">
    <w:abstractNumId w:val="0"/>
  </w:num>
  <w:num w:numId="5" w16cid:durableId="972178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821"/>
    <w:rsid w:val="00013785"/>
    <w:rsid w:val="00027D09"/>
    <w:rsid w:val="0006537C"/>
    <w:rsid w:val="000664CA"/>
    <w:rsid w:val="00096DBF"/>
    <w:rsid w:val="000B3941"/>
    <w:rsid w:val="000D5EA4"/>
    <w:rsid w:val="000D728C"/>
    <w:rsid w:val="00122359"/>
    <w:rsid w:val="001428B8"/>
    <w:rsid w:val="00165562"/>
    <w:rsid w:val="001A1D1C"/>
    <w:rsid w:val="001D111D"/>
    <w:rsid w:val="00203A37"/>
    <w:rsid w:val="002079CA"/>
    <w:rsid w:val="00211873"/>
    <w:rsid w:val="00267EF9"/>
    <w:rsid w:val="00281544"/>
    <w:rsid w:val="00297EC2"/>
    <w:rsid w:val="002C731A"/>
    <w:rsid w:val="003147E8"/>
    <w:rsid w:val="00317664"/>
    <w:rsid w:val="00331671"/>
    <w:rsid w:val="00373A86"/>
    <w:rsid w:val="00374339"/>
    <w:rsid w:val="003840BA"/>
    <w:rsid w:val="003C2E22"/>
    <w:rsid w:val="004540D8"/>
    <w:rsid w:val="00457196"/>
    <w:rsid w:val="004B2881"/>
    <w:rsid w:val="004E1876"/>
    <w:rsid w:val="004F29D6"/>
    <w:rsid w:val="00502D43"/>
    <w:rsid w:val="00517CD4"/>
    <w:rsid w:val="00517D0F"/>
    <w:rsid w:val="005418EE"/>
    <w:rsid w:val="00553771"/>
    <w:rsid w:val="005739E8"/>
    <w:rsid w:val="005814E7"/>
    <w:rsid w:val="005857B6"/>
    <w:rsid w:val="005D216A"/>
    <w:rsid w:val="005F6446"/>
    <w:rsid w:val="00652BE1"/>
    <w:rsid w:val="00665498"/>
    <w:rsid w:val="00666302"/>
    <w:rsid w:val="00680AA1"/>
    <w:rsid w:val="00680FF0"/>
    <w:rsid w:val="006D5EA9"/>
    <w:rsid w:val="006E422D"/>
    <w:rsid w:val="006F31CC"/>
    <w:rsid w:val="00754463"/>
    <w:rsid w:val="00773194"/>
    <w:rsid w:val="007747DE"/>
    <w:rsid w:val="007A3218"/>
    <w:rsid w:val="007E0C54"/>
    <w:rsid w:val="007F784B"/>
    <w:rsid w:val="00805E6B"/>
    <w:rsid w:val="00821B8A"/>
    <w:rsid w:val="008502B2"/>
    <w:rsid w:val="008C1DF8"/>
    <w:rsid w:val="009136C6"/>
    <w:rsid w:val="00913E1E"/>
    <w:rsid w:val="00923D30"/>
    <w:rsid w:val="0095435D"/>
    <w:rsid w:val="00961153"/>
    <w:rsid w:val="0097493A"/>
    <w:rsid w:val="009E569C"/>
    <w:rsid w:val="009E79CF"/>
    <w:rsid w:val="009F65D6"/>
    <w:rsid w:val="00A20879"/>
    <w:rsid w:val="00A846B7"/>
    <w:rsid w:val="00AC3C4D"/>
    <w:rsid w:val="00AC700E"/>
    <w:rsid w:val="00AE48C3"/>
    <w:rsid w:val="00B22336"/>
    <w:rsid w:val="00B35324"/>
    <w:rsid w:val="00B47728"/>
    <w:rsid w:val="00B73678"/>
    <w:rsid w:val="00BF7C3E"/>
    <w:rsid w:val="00C97F1D"/>
    <w:rsid w:val="00CA6821"/>
    <w:rsid w:val="00CC6D30"/>
    <w:rsid w:val="00CF5F8D"/>
    <w:rsid w:val="00D5710A"/>
    <w:rsid w:val="00D84961"/>
    <w:rsid w:val="00D90F59"/>
    <w:rsid w:val="00DE4CCF"/>
    <w:rsid w:val="00DF0BE9"/>
    <w:rsid w:val="00E41461"/>
    <w:rsid w:val="00EB5D65"/>
    <w:rsid w:val="00EC154E"/>
    <w:rsid w:val="00ED2143"/>
    <w:rsid w:val="00EF3DD4"/>
    <w:rsid w:val="00F22EE1"/>
    <w:rsid w:val="00F35036"/>
    <w:rsid w:val="00F54362"/>
    <w:rsid w:val="00F863A1"/>
    <w:rsid w:val="00FA417A"/>
    <w:rsid w:val="00FA7FD5"/>
    <w:rsid w:val="00FC5F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6B25"/>
  <w15:docId w15:val="{24E2890E-A611-467C-8CE4-1811681C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10A"/>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6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6821"/>
    <w:pPr>
      <w:ind w:left="720"/>
      <w:contextualSpacing/>
    </w:pPr>
  </w:style>
  <w:style w:type="paragraph" w:styleId="a5">
    <w:name w:val="Normal (Web)"/>
    <w:basedOn w:val="a"/>
    <w:uiPriority w:val="99"/>
    <w:unhideWhenUsed/>
    <w:rsid w:val="0055377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a"/>
    <w:rsid w:val="008502B2"/>
    <w:pPr>
      <w:spacing w:before="100" w:beforeAutospacing="1" w:after="100" w:afterAutospacing="1" w:line="240" w:lineRule="auto"/>
    </w:pPr>
    <w:rPr>
      <w:rFonts w:ascii="Times New Roman" w:eastAsia="Times New Roman" w:hAnsi="Times New Roman"/>
      <w:sz w:val="24"/>
      <w:szCs w:val="24"/>
      <w:lang w:val="en-US"/>
    </w:rPr>
  </w:style>
  <w:style w:type="paragraph" w:styleId="a6">
    <w:name w:val="header"/>
    <w:basedOn w:val="a"/>
    <w:link w:val="a7"/>
    <w:uiPriority w:val="99"/>
    <w:semiHidden/>
    <w:unhideWhenUsed/>
    <w:rsid w:val="00122359"/>
    <w:pPr>
      <w:tabs>
        <w:tab w:val="center" w:pos="4677"/>
        <w:tab w:val="right" w:pos="9355"/>
      </w:tabs>
      <w:spacing w:after="0" w:line="240" w:lineRule="auto"/>
    </w:pPr>
  </w:style>
  <w:style w:type="character" w:customStyle="1" w:styleId="a7">
    <w:name w:val="Верхній колонтитул Знак"/>
    <w:basedOn w:val="a0"/>
    <w:link w:val="a6"/>
    <w:uiPriority w:val="99"/>
    <w:semiHidden/>
    <w:rsid w:val="00122359"/>
    <w:rPr>
      <w:rFonts w:ascii="Calibri" w:eastAsia="Calibri" w:hAnsi="Calibri" w:cs="Times New Roman"/>
      <w:lang w:val="ru-RU"/>
    </w:rPr>
  </w:style>
  <w:style w:type="paragraph" w:styleId="a8">
    <w:name w:val="Balloon Text"/>
    <w:basedOn w:val="a"/>
    <w:link w:val="a9"/>
    <w:semiHidden/>
    <w:rsid w:val="00FC5F14"/>
    <w:pPr>
      <w:spacing w:after="200" w:line="276" w:lineRule="auto"/>
    </w:pPr>
    <w:rPr>
      <w:rFonts w:ascii="Tahoma" w:hAnsi="Tahoma" w:cs="Tahoma"/>
      <w:sz w:val="16"/>
      <w:szCs w:val="16"/>
    </w:rPr>
  </w:style>
  <w:style w:type="character" w:customStyle="1" w:styleId="a9">
    <w:name w:val="Текст у виносці Знак"/>
    <w:basedOn w:val="a0"/>
    <w:link w:val="a8"/>
    <w:semiHidden/>
    <w:rsid w:val="00FC5F14"/>
    <w:rPr>
      <w:rFonts w:ascii="Tahoma" w:eastAsia="Calibri" w:hAnsi="Tahoma" w:cs="Tahoma"/>
      <w:sz w:val="16"/>
      <w:szCs w:val="16"/>
      <w:lang w:val="ru-RU"/>
    </w:rPr>
  </w:style>
  <w:style w:type="character" w:customStyle="1" w:styleId="fontstyle11">
    <w:name w:val="fontstyle11"/>
    <w:rsid w:val="00517D0F"/>
    <w:rPr>
      <w:rFonts w:ascii="TimesNewRomanPSMT" w:hAnsi="TimesNewRomanPSMT" w:hint="default"/>
      <w:b w:val="0"/>
      <w:bCs w:val="0"/>
      <w:i w:val="0"/>
      <w:iCs w:val="0"/>
      <w:color w:val="000000"/>
      <w:sz w:val="28"/>
      <w:szCs w:val="28"/>
    </w:rPr>
  </w:style>
  <w:style w:type="character" w:customStyle="1" w:styleId="fontstyle21">
    <w:name w:val="fontstyle21"/>
    <w:rsid w:val="00502D43"/>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268910">
      <w:bodyDiv w:val="1"/>
      <w:marLeft w:val="0"/>
      <w:marRight w:val="0"/>
      <w:marTop w:val="0"/>
      <w:marBottom w:val="0"/>
      <w:divBdr>
        <w:top w:val="none" w:sz="0" w:space="0" w:color="auto"/>
        <w:left w:val="none" w:sz="0" w:space="0" w:color="auto"/>
        <w:bottom w:val="none" w:sz="0" w:space="0" w:color="auto"/>
        <w:right w:val="none" w:sz="0" w:space="0" w:color="auto"/>
      </w:divBdr>
    </w:div>
    <w:div w:id="55392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1500</Words>
  <Characters>855</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Відділ аспірантури та докторантури</cp:lastModifiedBy>
  <cp:revision>2</cp:revision>
  <dcterms:created xsi:type="dcterms:W3CDTF">2022-05-02T12:25:00Z</dcterms:created>
  <dcterms:modified xsi:type="dcterms:W3CDTF">2022-05-02T12:25:00Z</dcterms:modified>
</cp:coreProperties>
</file>