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eastAsia="Calibri" w:cs="Times New Roman" w:ascii="Calibri" w:hAnsi="Calibri"/>
          <w:sz w:val="20"/>
          <w:szCs w:val="20"/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7"/>
        <w:gridCol w:w="5370"/>
      </w:tblGrid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Код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 та назва дисципліни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2-091-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-3_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2"/>
                <w:szCs w:val="22"/>
                <w:lang w:val="uk-UA"/>
              </w:rPr>
              <w:t>Біологія відтворення гідробіонтів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Рекомендується для галузі знань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(спеціальності, освітньої програми)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09, ОП «Системна біологія та гідробіоресурси»,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10, 16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Загальної біології та водних біоресурсів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П.І.П. НПП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(за можливості)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Доц. Шарамок Тетяна Сергіївна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Рівень ВО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Другий (магістерський)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Курс, семестр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(в якому буде викладатись)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I, 2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Українська 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Базові знання з біології, іхтіології.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Що буде вивчатися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uk-UA"/>
              </w:rPr>
              <w:t>Структурні особливості репродуктивної системи різних  видів гідробіонтів; засоби їх штучного запліднення; схеми проведення гіпофізарних ін’єкцій; методи запліднення та інкубації ікри; технологію підрощування личинок.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Чому це цікаво/треба вивчати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Впровадження державної програми «Аквакультура» потребує підготовку фахівців у галузі селекції та відтворення риб, перспектива працевлаштування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Чого можна навчитися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(результати навчання)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uk-UA" w:eastAsia="uk-UA"/>
              </w:rPr>
              <w:t>Демонструвати знання про основні закономірності формування,  кількісної оцінки та стратегії збереження біологічного різноманіття, збільшення продуктивності. Використовувати інноваційні підходи для розв’язання конкретних завдань.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(компетентності)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1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pacing w:val="-1"/>
                <w:sz w:val="22"/>
                <w:szCs w:val="22"/>
                <w:lang w:val="uk-UA" w:eastAsia="uk-UA"/>
              </w:rPr>
              <w:t>Здатність виявляти та використовувати фізіолого- біохімічні зміни, що відбуваються в організмі гідробіонтів для ефективного ведення технологічних процесів в аквакультурі. Здатність сприймати новітні знання в області наукових досягнень  аквакультури, інтегрувати їх з наявними методами розведення та відтворення гідробіоресурсів.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Інформаційне забезпечення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Навчальний посібник,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методичні рекомендації до виконання практичних робіт,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презентації.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Види навчальних занять </w:t>
            </w:r>
          </w:p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Лекції,  практичні заняття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Вид семестрового контролю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Диф. залік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/>
              </w:rPr>
              <w:t>25</w:t>
            </w:r>
          </w:p>
        </w:tc>
      </w:tr>
      <w:tr>
        <w:trPr>
          <w:trHeight w:val="644" w:hRule="atLeast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Мінімальна кількість здобувачів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(тільки для мовних та творчих дисциплін)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uk-UA"/>
              </w:rPr>
            </w:r>
          </w:p>
        </w:tc>
      </w:tr>
    </w:tbl>
    <w:p>
      <w:pPr>
        <w:pStyle w:val="Normal"/>
        <w:tabs>
          <w:tab w:val="left" w:pos="567" w:leader="none"/>
          <w:tab w:val="left" w:pos="709" w:leader="none"/>
        </w:tabs>
        <w:bidi w:val="0"/>
        <w:spacing w:lineRule="auto" w:line="276" w:before="0" w:after="200"/>
        <w:ind w:firstLine="567"/>
        <w:jc w:val="left"/>
        <w:rPr>
          <w:rFonts w:ascii="Calibri" w:hAnsi="Calibri" w:eastAsia="Calibri" w:cs="Times New Roman"/>
          <w:sz w:val="28"/>
          <w:szCs w:val="28"/>
          <w:lang w:val="uk-UA"/>
        </w:rPr>
      </w:pPr>
      <w:r>
        <w:rPr>
          <w:rFonts w:eastAsia="Calibri" w:cs="Times New Roman" w:ascii="Calibri" w:hAnsi="Calibri"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218</Words>
  <Characters>1710</Characters>
  <CharactersWithSpaces>1907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2021-06-11T12:12:15Z</dcterms:created>
  <dc:creator/>
  <dc:description/>
  <dc:language>ru-RU</dc:language>
  <cp:lastModifiedBy/>
  <dcterms:modified xsi:type="dcterms:W3CDTF">2021-06-11T12:14:10Z</dcterms:modified>
  <cp:revision>2</cp:revision>
  <dc:subject/>
  <dc:title/>
</cp:coreProperties>
</file>