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" w:leader="none"/>
          <w:tab w:val="left" w:pos="709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tbl>
      <w:tblPr>
        <w:tblW w:w="5000" w:type="pct"/>
        <w:jc w:val="left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9"/>
        <w:gridCol w:w="5389"/>
      </w:tblGrid>
      <w:tr>
        <w:trPr>
          <w:trHeight w:val="396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Код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 та назва дисципліни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val="uk-UA"/>
              </w:rPr>
              <w:t>1-091-4-7_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  <w:lang w:val="uk-UA"/>
              </w:rPr>
              <w:t>Водна радіоекологія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Рекомендується для галузі знань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(спеціальності, освітньої програми)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09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, 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ОП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Система біологія та гідробіоресурси,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>
        <w:trPr>
          <w:trHeight w:val="312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Загальної біології та водних біоресурсів</w:t>
            </w:r>
          </w:p>
        </w:tc>
      </w:tr>
      <w:tr>
        <w:trPr>
          <w:trHeight w:val="396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П.І.П. НПП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(за можливості)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Проф.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Шугуров Олег Олегович</w:t>
            </w:r>
          </w:p>
        </w:tc>
      </w:tr>
      <w:tr>
        <w:trPr>
          <w:trHeight w:val="43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Рівень ВО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  <w:lang w:val="uk-UA" w:eastAsia="zh-CN" w:bidi="ar-SA"/>
              </w:rPr>
              <w:t>Перший (бакалаврський)</w:t>
            </w:r>
          </w:p>
        </w:tc>
      </w:tr>
      <w:tr>
        <w:trPr>
          <w:trHeight w:val="330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Курс, семестр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(в якому буде викладатись)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n-US"/>
              </w:rPr>
              <w:t>II-IV</w:t>
            </w:r>
          </w:p>
        </w:tc>
      </w:tr>
      <w:tr>
        <w:trPr>
          <w:trHeight w:val="382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Українська </w:t>
            </w:r>
          </w:p>
        </w:tc>
      </w:tr>
      <w:tr>
        <w:trPr>
          <w:trHeight w:val="346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Загальна біологія, екологія, цитологія.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Що буде вивчатися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ru-RU"/>
              </w:rPr>
              <w:t xml:space="preserve">Класифікація джерел випромінювання, природний радіаційний фон, шляхи міграції радіонуклідів у водному середовищі, транспортна функція водних екосистем, їх бар'єрна роль по відношенню до мі–грації, поведінка радіонуклідів на території різних природних зон України, радіонукліди у харчових ланцюгах представників інших екосистем. 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Чому це цікаво/треба вивчати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З'являється розуміння впливу радіонуклідів на водні екосистеми та біотичні та абіотичні ланцюги поширення у водних та суміжних екосистемах.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Чого можна навчитися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(результати навчання)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Опанування знаннями про закономірність та шляхи проникнення радіонуклідів на всі ієрархічні рівні екосистем, освоїти методи контролю та оці–нки рівня екосистемного забруднення радіонуклі–дами, стати експертом у галузі захисту населення та довкілля від природних і штучних радіонуклідів. Демонструвати знання і розуміння основ загальної, системної й прикладної екології, принципів оптимального природокористування й охорони природи.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(компетентності)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2"/>
                <w:szCs w:val="22"/>
                <w:lang w:val="uk-UA" w:eastAsia="uk-UA"/>
              </w:rPr>
              <w:t xml:space="preserve">Здатність застосовувати знання у практичних ситуаціях. Здатність працювати як самостійно, так і в команді. Здатність здійснювати збір, реєстрацію і аналіз даних за допомогою відповідних методів, прийомів і засобів у польових і лабораторних умовах і звітувати про результати.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Інформаційне забезпечення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Електронні навчальні посібники, презентації, дозиметри та радіометри для аналізу радіоактив–ності води та продукції аквакультури. </w:t>
            </w:r>
          </w:p>
        </w:tc>
      </w:tr>
      <w:tr>
        <w:trPr>
          <w:trHeight w:val="330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 xml:space="preserve">Види навчальних занять </w:t>
            </w:r>
          </w:p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2"/>
                <w:szCs w:val="22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Лекції, лабораторні (практичні) заняття</w:t>
            </w:r>
          </w:p>
        </w:tc>
      </w:tr>
      <w:tr>
        <w:trPr>
          <w:trHeight w:val="406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Вид семестрового контролю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Диф. залік</w:t>
            </w:r>
          </w:p>
        </w:tc>
      </w:tr>
      <w:tr>
        <w:trPr>
          <w:trHeight w:val="256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>
        <w:trPr>
          <w:trHeight w:val="644" w:hRule="atLeast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Мінімальна кількість здобувачів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(тільки для мовних та творчих дисциплін)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tabs>
          <w:tab w:val="left" w:pos="567" w:leader="none"/>
          <w:tab w:val="left" w:pos="709" w:leader="none"/>
        </w:tabs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271</Words>
  <Characters>1957</Characters>
  <CharactersWithSpaces>2201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2021-06-11T11:29:18Z</dcterms:created>
  <dc:creator/>
  <dc:description/>
  <dc:language>ru-RU</dc:language>
  <cp:lastModifiedBy/>
  <dcterms:modified xsi:type="dcterms:W3CDTF">2021-06-11T11:30:44Z</dcterms:modified>
  <cp:revision>1</cp:revision>
  <dc:subject/>
  <dc:title/>
</cp:coreProperties>
</file>