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6AF3B" w14:textId="46525792" w:rsidR="00C94616" w:rsidRDefault="00C94616" w:rsidP="00C94616">
      <w:pPr>
        <w:spacing w:after="0" w:line="240" w:lineRule="auto"/>
        <w:jc w:val="center"/>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w:t>
      </w:r>
      <w:r w:rsidRPr="00DA4DBC">
        <w:rPr>
          <w:rFonts w:ascii="Times New Roman" w:eastAsia="Times New Roman" w:hAnsi="Times New Roman" w:cs="Times New Roman"/>
          <w:sz w:val="28"/>
          <w:szCs w:val="28"/>
          <w:lang w:eastAsia="uk-UA"/>
        </w:rPr>
        <w:t>пис вибіркової навчальної дисципліни </w:t>
      </w:r>
    </w:p>
    <w:p w14:paraId="5FF64864" w14:textId="064401B1" w:rsidR="00C94616" w:rsidRDefault="00C94616" w:rsidP="00C94616">
      <w:pPr>
        <w:spacing w:after="0" w:line="240" w:lineRule="auto"/>
        <w:jc w:val="center"/>
        <w:textAlignment w:val="baseline"/>
        <w:rPr>
          <w:rFonts w:ascii="Times New Roman" w:eastAsia="Times New Roman" w:hAnsi="Times New Roman" w:cs="Times New Roman"/>
          <w:sz w:val="28"/>
          <w:szCs w:val="28"/>
          <w:lang w:eastAsia="uk-UA"/>
        </w:rPr>
      </w:pPr>
    </w:p>
    <w:tbl>
      <w:tblPr>
        <w:tblW w:w="9724" w:type="dxa"/>
        <w:tblLayout w:type="fixed"/>
        <w:tblLook w:val="04A0" w:firstRow="1" w:lastRow="0" w:firstColumn="1" w:lastColumn="0" w:noHBand="0" w:noVBand="1"/>
      </w:tblPr>
      <w:tblGrid>
        <w:gridCol w:w="2162"/>
        <w:gridCol w:w="7562"/>
      </w:tblGrid>
      <w:tr w:rsidR="00C94616" w14:paraId="3381A726" w14:textId="77777777" w:rsidTr="002948FC">
        <w:trPr>
          <w:trHeight w:val="468"/>
        </w:trPr>
        <w:tc>
          <w:tcPr>
            <w:tcW w:w="2162" w:type="dxa"/>
            <w:tcBorders>
              <w:top w:val="single" w:sz="8" w:space="0" w:color="auto"/>
              <w:left w:val="single" w:sz="8" w:space="0" w:color="auto"/>
              <w:bottom w:val="nil"/>
              <w:right w:val="nil"/>
            </w:tcBorders>
            <w:shd w:val="clear" w:color="auto" w:fill="FFFFFF" w:themeFill="background1"/>
            <w:vAlign w:val="center"/>
          </w:tcPr>
          <w:p w14:paraId="2BDF4C80" w14:textId="77777777" w:rsidR="00C94616" w:rsidRDefault="00C94616" w:rsidP="00C94616">
            <w:pPr>
              <w:spacing w:after="0"/>
            </w:pPr>
            <w:r w:rsidRPr="691F1276">
              <w:rPr>
                <w:rFonts w:ascii="Times New Roman" w:eastAsia="Times New Roman" w:hAnsi="Times New Roman" w:cs="Times New Roman"/>
                <w:color w:val="000000" w:themeColor="text1"/>
                <w:sz w:val="23"/>
                <w:szCs w:val="23"/>
              </w:rPr>
              <w:t xml:space="preserve">Назва дисципліни </w:t>
            </w:r>
          </w:p>
        </w:tc>
        <w:tc>
          <w:tcPr>
            <w:tcW w:w="7562" w:type="dxa"/>
            <w:tcBorders>
              <w:top w:val="single" w:sz="8" w:space="0" w:color="auto"/>
              <w:left w:val="single" w:sz="8" w:space="0" w:color="auto"/>
              <w:bottom w:val="nil"/>
              <w:right w:val="single" w:sz="8" w:space="0" w:color="auto"/>
            </w:tcBorders>
            <w:shd w:val="clear" w:color="auto" w:fill="FFFFFF" w:themeFill="background1"/>
            <w:vAlign w:val="center"/>
          </w:tcPr>
          <w:p w14:paraId="308683F9" w14:textId="77777777" w:rsidR="00C94616" w:rsidRPr="00C94616" w:rsidRDefault="00C94616" w:rsidP="00C94616">
            <w:pPr>
              <w:spacing w:after="0" w:line="240" w:lineRule="auto"/>
              <w:rPr>
                <w:sz w:val="24"/>
                <w:szCs w:val="24"/>
              </w:rPr>
            </w:pPr>
            <w:r w:rsidRPr="00C94616">
              <w:rPr>
                <w:rFonts w:ascii="Times New Roman" w:eastAsia="Times New Roman" w:hAnsi="Times New Roman" w:cs="Times New Roman"/>
                <w:color w:val="000000" w:themeColor="text1"/>
                <w:sz w:val="24"/>
                <w:szCs w:val="24"/>
              </w:rPr>
              <w:t xml:space="preserve"> Регіональні школи в українській літературі кінця ХХ – початку ХХІ ст.  </w:t>
            </w:r>
          </w:p>
        </w:tc>
      </w:tr>
      <w:tr w:rsidR="00C94616" w14:paraId="19540B52" w14:textId="77777777" w:rsidTr="002948FC">
        <w:trPr>
          <w:trHeight w:val="634"/>
        </w:trPr>
        <w:tc>
          <w:tcPr>
            <w:tcW w:w="2162" w:type="dxa"/>
            <w:tcBorders>
              <w:top w:val="single" w:sz="8" w:space="0" w:color="auto"/>
              <w:left w:val="single" w:sz="8" w:space="0" w:color="auto"/>
              <w:bottom w:val="nil"/>
              <w:right w:val="nil"/>
            </w:tcBorders>
            <w:shd w:val="clear" w:color="auto" w:fill="FFFFFF" w:themeFill="background1"/>
            <w:vAlign w:val="center"/>
          </w:tcPr>
          <w:p w14:paraId="0FF61F6B" w14:textId="77777777" w:rsidR="00C94616" w:rsidRPr="00C94616" w:rsidRDefault="00C94616" w:rsidP="00C94616">
            <w:pPr>
              <w:spacing w:after="0" w:line="240" w:lineRule="auto"/>
              <w:rPr>
                <w:sz w:val="16"/>
                <w:szCs w:val="16"/>
              </w:rPr>
            </w:pPr>
            <w:r w:rsidRPr="00C94616">
              <w:rPr>
                <w:rFonts w:ascii="Times New Roman" w:eastAsia="Times New Roman" w:hAnsi="Times New Roman" w:cs="Times New Roman"/>
                <w:color w:val="000000" w:themeColor="text1"/>
                <w:sz w:val="16"/>
                <w:szCs w:val="16"/>
              </w:rPr>
              <w:t xml:space="preserve">Рекомендується для галузі знань </w:t>
            </w:r>
            <w:r w:rsidRPr="00C94616">
              <w:rPr>
                <w:rFonts w:ascii="Times New Roman" w:eastAsia="Times New Roman" w:hAnsi="Times New Roman" w:cs="Times New Roman"/>
                <w:i/>
                <w:iCs/>
                <w:color w:val="000000" w:themeColor="text1"/>
                <w:sz w:val="16"/>
                <w:szCs w:val="16"/>
              </w:rPr>
              <w:t>(спеціальності, освітньої програми)</w:t>
            </w:r>
            <w:r w:rsidRPr="00C94616">
              <w:rPr>
                <w:rFonts w:ascii="Times New Roman" w:eastAsia="Times New Roman" w:hAnsi="Times New Roman" w:cs="Times New Roman"/>
                <w:color w:val="000000" w:themeColor="text1"/>
                <w:sz w:val="16"/>
                <w:szCs w:val="16"/>
              </w:rPr>
              <w:t xml:space="preserve"> </w:t>
            </w:r>
          </w:p>
        </w:tc>
        <w:tc>
          <w:tcPr>
            <w:tcW w:w="7562" w:type="dxa"/>
            <w:tcBorders>
              <w:top w:val="single" w:sz="8" w:space="0" w:color="auto"/>
              <w:left w:val="single" w:sz="8" w:space="0" w:color="auto"/>
              <w:bottom w:val="nil"/>
              <w:right w:val="single" w:sz="8" w:space="0" w:color="auto"/>
            </w:tcBorders>
            <w:shd w:val="clear" w:color="auto" w:fill="FFFFFF" w:themeFill="background1"/>
            <w:vAlign w:val="center"/>
          </w:tcPr>
          <w:p w14:paraId="702011B4" w14:textId="77777777" w:rsidR="00C94616" w:rsidRPr="00C94616" w:rsidRDefault="00C94616" w:rsidP="00C94616">
            <w:pPr>
              <w:spacing w:after="0"/>
              <w:rPr>
                <w:sz w:val="20"/>
                <w:szCs w:val="20"/>
              </w:rPr>
            </w:pPr>
            <w:r w:rsidRPr="00C94616">
              <w:rPr>
                <w:rFonts w:ascii="Times New Roman" w:eastAsia="Times New Roman" w:hAnsi="Times New Roman" w:cs="Times New Roman"/>
                <w:color w:val="000000" w:themeColor="text1"/>
                <w:sz w:val="20"/>
                <w:szCs w:val="20"/>
              </w:rPr>
              <w:t xml:space="preserve">03 Гуманітарні науки, 035.01 Філологія (українська мова та література) </w:t>
            </w:r>
          </w:p>
        </w:tc>
      </w:tr>
      <w:tr w:rsidR="00C94616" w14:paraId="40051CA7" w14:textId="77777777" w:rsidTr="002948FC">
        <w:trPr>
          <w:trHeight w:val="317"/>
        </w:trPr>
        <w:tc>
          <w:tcPr>
            <w:tcW w:w="2162" w:type="dxa"/>
            <w:tcBorders>
              <w:top w:val="single" w:sz="8" w:space="0" w:color="auto"/>
              <w:left w:val="single" w:sz="8" w:space="0" w:color="auto"/>
              <w:bottom w:val="nil"/>
              <w:right w:val="nil"/>
            </w:tcBorders>
            <w:shd w:val="clear" w:color="auto" w:fill="FFFFFF" w:themeFill="background1"/>
            <w:vAlign w:val="center"/>
          </w:tcPr>
          <w:p w14:paraId="4843160A" w14:textId="77777777" w:rsidR="00C94616" w:rsidRPr="00C94616" w:rsidRDefault="00C94616" w:rsidP="00C94616">
            <w:pPr>
              <w:spacing w:after="0" w:line="240" w:lineRule="auto"/>
              <w:rPr>
                <w:sz w:val="16"/>
                <w:szCs w:val="16"/>
              </w:rPr>
            </w:pPr>
            <w:r w:rsidRPr="00C94616">
              <w:rPr>
                <w:rFonts w:ascii="Times New Roman" w:eastAsia="Times New Roman" w:hAnsi="Times New Roman" w:cs="Times New Roman"/>
                <w:color w:val="000000" w:themeColor="text1"/>
                <w:sz w:val="16"/>
                <w:szCs w:val="16"/>
              </w:rPr>
              <w:t xml:space="preserve">Кафедра </w:t>
            </w:r>
          </w:p>
        </w:tc>
        <w:tc>
          <w:tcPr>
            <w:tcW w:w="7562" w:type="dxa"/>
            <w:tcBorders>
              <w:top w:val="single" w:sz="8" w:space="0" w:color="auto"/>
              <w:left w:val="single" w:sz="8" w:space="0" w:color="auto"/>
              <w:bottom w:val="nil"/>
              <w:right w:val="single" w:sz="8" w:space="0" w:color="auto"/>
            </w:tcBorders>
            <w:shd w:val="clear" w:color="auto" w:fill="FFFFFF" w:themeFill="background1"/>
            <w:vAlign w:val="center"/>
          </w:tcPr>
          <w:p w14:paraId="50B161E3" w14:textId="77777777" w:rsidR="00C94616" w:rsidRPr="00C94616" w:rsidRDefault="00C94616" w:rsidP="00C94616">
            <w:pPr>
              <w:spacing w:after="0"/>
              <w:rPr>
                <w:sz w:val="20"/>
                <w:szCs w:val="20"/>
              </w:rPr>
            </w:pPr>
            <w:r w:rsidRPr="00C94616">
              <w:rPr>
                <w:rFonts w:ascii="Times New Roman" w:eastAsia="Times New Roman" w:hAnsi="Times New Roman" w:cs="Times New Roman"/>
                <w:color w:val="000000" w:themeColor="text1"/>
                <w:sz w:val="20"/>
                <w:szCs w:val="20"/>
              </w:rPr>
              <w:t xml:space="preserve">Української літератури </w:t>
            </w:r>
          </w:p>
        </w:tc>
      </w:tr>
      <w:tr w:rsidR="00C94616" w14:paraId="784357C5" w14:textId="77777777" w:rsidTr="002948FC">
        <w:trPr>
          <w:trHeight w:val="408"/>
        </w:trPr>
        <w:tc>
          <w:tcPr>
            <w:tcW w:w="2162" w:type="dxa"/>
            <w:tcBorders>
              <w:top w:val="single" w:sz="8" w:space="0" w:color="auto"/>
              <w:left w:val="single" w:sz="8" w:space="0" w:color="auto"/>
              <w:bottom w:val="nil"/>
              <w:right w:val="nil"/>
            </w:tcBorders>
            <w:shd w:val="clear" w:color="auto" w:fill="FFFFFF" w:themeFill="background1"/>
            <w:vAlign w:val="center"/>
          </w:tcPr>
          <w:p w14:paraId="1F290EAF" w14:textId="77777777" w:rsidR="00C94616" w:rsidRPr="00C94616" w:rsidRDefault="00C94616" w:rsidP="00C94616">
            <w:pPr>
              <w:spacing w:after="0" w:line="240" w:lineRule="auto"/>
              <w:rPr>
                <w:sz w:val="16"/>
                <w:szCs w:val="16"/>
              </w:rPr>
            </w:pPr>
            <w:r w:rsidRPr="00C94616">
              <w:rPr>
                <w:rFonts w:ascii="Times New Roman" w:eastAsia="Times New Roman" w:hAnsi="Times New Roman" w:cs="Times New Roman"/>
                <w:color w:val="000000" w:themeColor="text1"/>
                <w:sz w:val="16"/>
                <w:szCs w:val="16"/>
              </w:rPr>
              <w:t xml:space="preserve">П.І.П. НПП </w:t>
            </w:r>
            <w:r w:rsidRPr="00C94616">
              <w:rPr>
                <w:rFonts w:ascii="Times New Roman" w:eastAsia="Times New Roman" w:hAnsi="Times New Roman" w:cs="Times New Roman"/>
                <w:i/>
                <w:iCs/>
                <w:color w:val="000000" w:themeColor="text1"/>
                <w:sz w:val="16"/>
                <w:szCs w:val="16"/>
              </w:rPr>
              <w:t>(за можливості)</w:t>
            </w:r>
            <w:r w:rsidRPr="00C94616">
              <w:rPr>
                <w:rFonts w:ascii="Times New Roman" w:eastAsia="Times New Roman" w:hAnsi="Times New Roman" w:cs="Times New Roman"/>
                <w:color w:val="000000" w:themeColor="text1"/>
                <w:sz w:val="16"/>
                <w:szCs w:val="16"/>
              </w:rPr>
              <w:t xml:space="preserve"> </w:t>
            </w:r>
          </w:p>
        </w:tc>
        <w:tc>
          <w:tcPr>
            <w:tcW w:w="7562" w:type="dxa"/>
            <w:tcBorders>
              <w:top w:val="single" w:sz="8" w:space="0" w:color="auto"/>
              <w:left w:val="single" w:sz="8" w:space="0" w:color="auto"/>
              <w:bottom w:val="nil"/>
              <w:right w:val="single" w:sz="8" w:space="0" w:color="auto"/>
            </w:tcBorders>
            <w:shd w:val="clear" w:color="auto" w:fill="FFFFFF" w:themeFill="background1"/>
            <w:vAlign w:val="center"/>
          </w:tcPr>
          <w:p w14:paraId="05250527" w14:textId="77777777" w:rsidR="00C94616" w:rsidRPr="00C94616" w:rsidRDefault="00C94616" w:rsidP="00C94616">
            <w:pPr>
              <w:spacing w:after="0"/>
              <w:rPr>
                <w:sz w:val="20"/>
                <w:szCs w:val="20"/>
              </w:rPr>
            </w:pPr>
            <w:r w:rsidRPr="00C94616">
              <w:rPr>
                <w:rFonts w:ascii="Times New Roman" w:eastAsia="Times New Roman" w:hAnsi="Times New Roman" w:cs="Times New Roman"/>
                <w:color w:val="000000" w:themeColor="text1"/>
                <w:sz w:val="20"/>
                <w:szCs w:val="20"/>
              </w:rPr>
              <w:t xml:space="preserve">Пасько Ірина Володимирівна </w:t>
            </w:r>
          </w:p>
        </w:tc>
      </w:tr>
      <w:tr w:rsidR="00C94616" w14:paraId="11807584" w14:textId="77777777" w:rsidTr="002948FC">
        <w:trPr>
          <w:trHeight w:val="302"/>
        </w:trPr>
        <w:tc>
          <w:tcPr>
            <w:tcW w:w="2162" w:type="dxa"/>
            <w:tcBorders>
              <w:top w:val="single" w:sz="8" w:space="0" w:color="auto"/>
              <w:left w:val="single" w:sz="8" w:space="0" w:color="auto"/>
              <w:bottom w:val="nil"/>
              <w:right w:val="nil"/>
            </w:tcBorders>
            <w:shd w:val="clear" w:color="auto" w:fill="FFFFFF" w:themeFill="background1"/>
            <w:vAlign w:val="center"/>
          </w:tcPr>
          <w:p w14:paraId="4A8B2005" w14:textId="77777777" w:rsidR="00C94616" w:rsidRPr="00C94616" w:rsidRDefault="00C94616" w:rsidP="00C94616">
            <w:pPr>
              <w:spacing w:after="0" w:line="240" w:lineRule="auto"/>
              <w:rPr>
                <w:sz w:val="16"/>
                <w:szCs w:val="16"/>
              </w:rPr>
            </w:pPr>
            <w:r w:rsidRPr="00C94616">
              <w:rPr>
                <w:rFonts w:ascii="Times New Roman" w:eastAsia="Times New Roman" w:hAnsi="Times New Roman" w:cs="Times New Roman"/>
                <w:color w:val="000000" w:themeColor="text1"/>
                <w:sz w:val="16"/>
                <w:szCs w:val="16"/>
              </w:rPr>
              <w:t xml:space="preserve">Рівень ВО </w:t>
            </w:r>
          </w:p>
        </w:tc>
        <w:tc>
          <w:tcPr>
            <w:tcW w:w="7562" w:type="dxa"/>
            <w:tcBorders>
              <w:top w:val="single" w:sz="8" w:space="0" w:color="auto"/>
              <w:left w:val="single" w:sz="8" w:space="0" w:color="auto"/>
              <w:bottom w:val="nil"/>
              <w:right w:val="single" w:sz="8" w:space="0" w:color="auto"/>
            </w:tcBorders>
            <w:shd w:val="clear" w:color="auto" w:fill="FFFFFF" w:themeFill="background1"/>
            <w:vAlign w:val="center"/>
          </w:tcPr>
          <w:p w14:paraId="5658389B" w14:textId="77777777" w:rsidR="00C94616" w:rsidRPr="00C94616" w:rsidRDefault="00C94616" w:rsidP="00C94616">
            <w:pPr>
              <w:spacing w:after="0"/>
              <w:rPr>
                <w:sz w:val="20"/>
                <w:szCs w:val="20"/>
              </w:rPr>
            </w:pPr>
            <w:r w:rsidRPr="00C94616">
              <w:rPr>
                <w:rFonts w:ascii="Times New Roman" w:eastAsia="Times New Roman" w:hAnsi="Times New Roman" w:cs="Times New Roman"/>
                <w:color w:val="000000" w:themeColor="text1"/>
                <w:sz w:val="20"/>
                <w:szCs w:val="20"/>
              </w:rPr>
              <w:t xml:space="preserve">Бакалавр </w:t>
            </w:r>
          </w:p>
        </w:tc>
      </w:tr>
      <w:tr w:rsidR="00C94616" w14:paraId="09C231B1" w14:textId="77777777" w:rsidTr="002948FC">
        <w:trPr>
          <w:trHeight w:val="395"/>
        </w:trPr>
        <w:tc>
          <w:tcPr>
            <w:tcW w:w="2162" w:type="dxa"/>
            <w:tcBorders>
              <w:top w:val="single" w:sz="8" w:space="0" w:color="auto"/>
              <w:left w:val="single" w:sz="8" w:space="0" w:color="auto"/>
              <w:bottom w:val="nil"/>
              <w:right w:val="nil"/>
            </w:tcBorders>
            <w:shd w:val="clear" w:color="auto" w:fill="FFFFFF" w:themeFill="background1"/>
            <w:vAlign w:val="center"/>
          </w:tcPr>
          <w:p w14:paraId="08290F51" w14:textId="77777777" w:rsidR="00C94616" w:rsidRPr="00C94616" w:rsidRDefault="00C94616" w:rsidP="00C94616">
            <w:pPr>
              <w:spacing w:after="0" w:line="240" w:lineRule="auto"/>
              <w:rPr>
                <w:sz w:val="16"/>
                <w:szCs w:val="16"/>
              </w:rPr>
            </w:pPr>
            <w:r w:rsidRPr="00C94616">
              <w:rPr>
                <w:rFonts w:ascii="Times New Roman" w:eastAsia="Times New Roman" w:hAnsi="Times New Roman" w:cs="Times New Roman"/>
                <w:color w:val="000000" w:themeColor="text1"/>
                <w:sz w:val="16"/>
                <w:szCs w:val="16"/>
              </w:rPr>
              <w:t xml:space="preserve">Курс </w:t>
            </w:r>
            <w:r w:rsidRPr="00C94616">
              <w:rPr>
                <w:rFonts w:ascii="Times New Roman" w:eastAsia="Times New Roman" w:hAnsi="Times New Roman" w:cs="Times New Roman"/>
                <w:i/>
                <w:iCs/>
                <w:color w:val="000000" w:themeColor="text1"/>
                <w:sz w:val="16"/>
                <w:szCs w:val="16"/>
              </w:rPr>
              <w:t>(на якому буде викладатися)</w:t>
            </w:r>
            <w:r w:rsidRPr="00C94616">
              <w:rPr>
                <w:rFonts w:ascii="Times New Roman" w:eastAsia="Times New Roman" w:hAnsi="Times New Roman" w:cs="Times New Roman"/>
                <w:color w:val="000000" w:themeColor="text1"/>
                <w:sz w:val="16"/>
                <w:szCs w:val="16"/>
              </w:rPr>
              <w:t xml:space="preserve"> </w:t>
            </w:r>
          </w:p>
        </w:tc>
        <w:tc>
          <w:tcPr>
            <w:tcW w:w="7562" w:type="dxa"/>
            <w:tcBorders>
              <w:top w:val="single" w:sz="8" w:space="0" w:color="auto"/>
              <w:left w:val="single" w:sz="8" w:space="0" w:color="auto"/>
              <w:bottom w:val="nil"/>
              <w:right w:val="single" w:sz="8" w:space="0" w:color="auto"/>
            </w:tcBorders>
            <w:shd w:val="clear" w:color="auto" w:fill="FFFFFF" w:themeFill="background1"/>
            <w:vAlign w:val="center"/>
          </w:tcPr>
          <w:p w14:paraId="2A3D390B" w14:textId="77777777" w:rsidR="00C94616" w:rsidRPr="00C94616" w:rsidRDefault="00C94616" w:rsidP="00C94616">
            <w:pPr>
              <w:spacing w:after="0"/>
              <w:rPr>
                <w:sz w:val="20"/>
                <w:szCs w:val="20"/>
              </w:rPr>
            </w:pPr>
            <w:r w:rsidRPr="00C94616">
              <w:rPr>
                <w:rFonts w:ascii="Times New Roman" w:eastAsia="Times New Roman" w:hAnsi="Times New Roman" w:cs="Times New Roman"/>
                <w:color w:val="000000" w:themeColor="text1"/>
                <w:sz w:val="20"/>
                <w:szCs w:val="20"/>
              </w:rPr>
              <w:t xml:space="preserve"> 3 </w:t>
            </w:r>
          </w:p>
        </w:tc>
      </w:tr>
      <w:tr w:rsidR="00C94616" w14:paraId="4A1C4B57" w14:textId="77777777" w:rsidTr="002948FC">
        <w:trPr>
          <w:trHeight w:val="291"/>
        </w:trPr>
        <w:tc>
          <w:tcPr>
            <w:tcW w:w="2162" w:type="dxa"/>
            <w:tcBorders>
              <w:top w:val="single" w:sz="8" w:space="0" w:color="auto"/>
              <w:left w:val="single" w:sz="8" w:space="0" w:color="auto"/>
              <w:bottom w:val="nil"/>
              <w:right w:val="nil"/>
            </w:tcBorders>
            <w:shd w:val="clear" w:color="auto" w:fill="FFFFFF" w:themeFill="background1"/>
            <w:vAlign w:val="center"/>
          </w:tcPr>
          <w:p w14:paraId="79F90CD8" w14:textId="77777777" w:rsidR="00C94616" w:rsidRPr="00C94616" w:rsidRDefault="00C94616" w:rsidP="00C94616">
            <w:pPr>
              <w:spacing w:after="0" w:line="240" w:lineRule="auto"/>
              <w:rPr>
                <w:sz w:val="16"/>
                <w:szCs w:val="16"/>
              </w:rPr>
            </w:pPr>
            <w:r w:rsidRPr="00C94616">
              <w:rPr>
                <w:rFonts w:ascii="Times New Roman" w:eastAsia="Times New Roman" w:hAnsi="Times New Roman" w:cs="Times New Roman"/>
                <w:color w:val="000000" w:themeColor="text1"/>
                <w:sz w:val="16"/>
                <w:szCs w:val="16"/>
              </w:rPr>
              <w:t xml:space="preserve">Мова викладання </w:t>
            </w:r>
          </w:p>
        </w:tc>
        <w:tc>
          <w:tcPr>
            <w:tcW w:w="7562" w:type="dxa"/>
            <w:tcBorders>
              <w:top w:val="single" w:sz="8" w:space="0" w:color="auto"/>
              <w:left w:val="single" w:sz="8" w:space="0" w:color="auto"/>
              <w:bottom w:val="nil"/>
              <w:right w:val="single" w:sz="8" w:space="0" w:color="auto"/>
            </w:tcBorders>
            <w:shd w:val="clear" w:color="auto" w:fill="FFFFFF" w:themeFill="background1"/>
            <w:vAlign w:val="center"/>
          </w:tcPr>
          <w:p w14:paraId="626EA77D" w14:textId="77777777" w:rsidR="00C94616" w:rsidRPr="00C94616" w:rsidRDefault="00C94616" w:rsidP="00C94616">
            <w:pPr>
              <w:spacing w:after="0"/>
              <w:rPr>
                <w:sz w:val="20"/>
                <w:szCs w:val="20"/>
              </w:rPr>
            </w:pPr>
            <w:r w:rsidRPr="00C94616">
              <w:rPr>
                <w:rFonts w:ascii="Times New Roman" w:eastAsia="Times New Roman" w:hAnsi="Times New Roman" w:cs="Times New Roman"/>
                <w:color w:val="000000" w:themeColor="text1"/>
                <w:sz w:val="20"/>
                <w:szCs w:val="20"/>
              </w:rPr>
              <w:t xml:space="preserve"> українська </w:t>
            </w:r>
          </w:p>
        </w:tc>
      </w:tr>
      <w:tr w:rsidR="00C94616" w14:paraId="37CADADC" w14:textId="77777777" w:rsidTr="002948FC">
        <w:trPr>
          <w:trHeight w:val="634"/>
        </w:trPr>
        <w:tc>
          <w:tcPr>
            <w:tcW w:w="2162" w:type="dxa"/>
            <w:tcBorders>
              <w:top w:val="single" w:sz="8" w:space="0" w:color="auto"/>
              <w:left w:val="single" w:sz="8" w:space="0" w:color="auto"/>
              <w:bottom w:val="nil"/>
              <w:right w:val="nil"/>
            </w:tcBorders>
            <w:shd w:val="clear" w:color="auto" w:fill="FFFFFF" w:themeFill="background1"/>
            <w:vAlign w:val="center"/>
          </w:tcPr>
          <w:p w14:paraId="3A8315C8" w14:textId="77777777" w:rsidR="00C94616" w:rsidRPr="00C94616" w:rsidRDefault="00C94616" w:rsidP="00C94616">
            <w:pPr>
              <w:spacing w:after="0"/>
              <w:jc w:val="both"/>
              <w:rPr>
                <w:sz w:val="20"/>
                <w:szCs w:val="20"/>
              </w:rPr>
            </w:pPr>
            <w:r w:rsidRPr="00C94616">
              <w:rPr>
                <w:rFonts w:ascii="Times New Roman" w:eastAsia="Times New Roman" w:hAnsi="Times New Roman" w:cs="Times New Roman"/>
                <w:color w:val="000000" w:themeColor="text1"/>
                <w:sz w:val="20"/>
                <w:szCs w:val="20"/>
              </w:rPr>
              <w:t xml:space="preserve">Вимоги до початку вивчення дисципліни </w:t>
            </w:r>
          </w:p>
        </w:tc>
        <w:tc>
          <w:tcPr>
            <w:tcW w:w="7562" w:type="dxa"/>
            <w:tcBorders>
              <w:top w:val="single" w:sz="8" w:space="0" w:color="auto"/>
              <w:left w:val="single" w:sz="8" w:space="0" w:color="auto"/>
              <w:bottom w:val="nil"/>
              <w:right w:val="single" w:sz="8" w:space="0" w:color="auto"/>
            </w:tcBorders>
            <w:shd w:val="clear" w:color="auto" w:fill="FFFFFF" w:themeFill="background1"/>
            <w:vAlign w:val="center"/>
          </w:tcPr>
          <w:p w14:paraId="51E776F1" w14:textId="77777777" w:rsidR="00C94616" w:rsidRPr="00C94616" w:rsidRDefault="00C94616" w:rsidP="00C94616">
            <w:pPr>
              <w:spacing w:after="0" w:line="240" w:lineRule="auto"/>
              <w:jc w:val="both"/>
              <w:rPr>
                <w:sz w:val="20"/>
                <w:szCs w:val="20"/>
              </w:rPr>
            </w:pPr>
            <w:r w:rsidRPr="00C94616">
              <w:rPr>
                <w:rFonts w:ascii="Times New Roman" w:eastAsia="Times New Roman" w:hAnsi="Times New Roman" w:cs="Times New Roman"/>
                <w:color w:val="000000" w:themeColor="text1"/>
                <w:sz w:val="20"/>
                <w:szCs w:val="20"/>
              </w:rPr>
              <w:t xml:space="preserve">Для успішного опанування матеріалу курсу студент повинен мати базові уявлення про загальні властивості літератури як мистецтва слова, про закони побудови художнього твору, особливості письменницької праці, літературні стилі, базові уявлення про основні тенденції розвитку світового літературного процесу та української літератури, бути здатним до збирання й аналізу, систематизації та інтерпретації літературних, фольклорних фактів. </w:t>
            </w:r>
          </w:p>
        </w:tc>
      </w:tr>
      <w:tr w:rsidR="00C94616" w14:paraId="66086581" w14:textId="77777777" w:rsidTr="002948FC">
        <w:trPr>
          <w:trHeight w:val="589"/>
        </w:trPr>
        <w:tc>
          <w:tcPr>
            <w:tcW w:w="2162" w:type="dxa"/>
            <w:tcBorders>
              <w:top w:val="single" w:sz="8" w:space="0" w:color="auto"/>
              <w:left w:val="single" w:sz="8" w:space="0" w:color="auto"/>
              <w:bottom w:val="nil"/>
              <w:right w:val="nil"/>
            </w:tcBorders>
            <w:shd w:val="clear" w:color="auto" w:fill="FFFFFF" w:themeFill="background1"/>
            <w:vAlign w:val="center"/>
          </w:tcPr>
          <w:p w14:paraId="7C3B058E" w14:textId="77777777" w:rsidR="00C94616" w:rsidRPr="00C94616" w:rsidRDefault="00C94616" w:rsidP="00C94616">
            <w:pPr>
              <w:spacing w:after="0"/>
              <w:rPr>
                <w:sz w:val="20"/>
                <w:szCs w:val="20"/>
              </w:rPr>
            </w:pPr>
            <w:r w:rsidRPr="00C94616">
              <w:rPr>
                <w:rFonts w:ascii="Times New Roman" w:eastAsia="Times New Roman" w:hAnsi="Times New Roman" w:cs="Times New Roman"/>
                <w:color w:val="000000" w:themeColor="text1"/>
                <w:sz w:val="20"/>
                <w:szCs w:val="20"/>
              </w:rPr>
              <w:t xml:space="preserve">Що буде вивчатися </w:t>
            </w:r>
          </w:p>
        </w:tc>
        <w:tc>
          <w:tcPr>
            <w:tcW w:w="7562" w:type="dxa"/>
            <w:tcBorders>
              <w:top w:val="single" w:sz="8" w:space="0" w:color="auto"/>
              <w:left w:val="single" w:sz="8" w:space="0" w:color="auto"/>
              <w:bottom w:val="nil"/>
              <w:right w:val="single" w:sz="8" w:space="0" w:color="auto"/>
            </w:tcBorders>
            <w:shd w:val="clear" w:color="auto" w:fill="FFFFFF" w:themeFill="background1"/>
            <w:vAlign w:val="center"/>
          </w:tcPr>
          <w:p w14:paraId="7F511E68" w14:textId="77777777" w:rsidR="00C94616" w:rsidRPr="00C94616" w:rsidRDefault="00C94616" w:rsidP="00C94616">
            <w:pPr>
              <w:spacing w:after="0" w:line="240" w:lineRule="auto"/>
              <w:jc w:val="both"/>
              <w:rPr>
                <w:sz w:val="20"/>
                <w:szCs w:val="20"/>
              </w:rPr>
            </w:pPr>
            <w:r w:rsidRPr="00C94616">
              <w:rPr>
                <w:rFonts w:ascii="Times New Roman" w:eastAsia="Times New Roman" w:hAnsi="Times New Roman" w:cs="Times New Roman"/>
                <w:color w:val="000000" w:themeColor="text1"/>
                <w:sz w:val="20"/>
                <w:szCs w:val="20"/>
              </w:rPr>
              <w:t>Курс передбачає опанування студентом інформації про різні підходи до класифікації української літератури кінця ХХ – початку ХХІ ст. (</w:t>
            </w:r>
            <w:proofErr w:type="spellStart"/>
            <w:r w:rsidRPr="00C94616">
              <w:rPr>
                <w:rFonts w:ascii="Times New Roman" w:eastAsia="Times New Roman" w:hAnsi="Times New Roman" w:cs="Times New Roman"/>
                <w:color w:val="000000" w:themeColor="text1"/>
                <w:sz w:val="20"/>
                <w:szCs w:val="20"/>
              </w:rPr>
              <w:t>поколіннєва</w:t>
            </w:r>
            <w:proofErr w:type="spellEnd"/>
            <w:r w:rsidRPr="00C94616">
              <w:rPr>
                <w:rFonts w:ascii="Times New Roman" w:eastAsia="Times New Roman" w:hAnsi="Times New Roman" w:cs="Times New Roman"/>
                <w:color w:val="000000" w:themeColor="text1"/>
                <w:sz w:val="20"/>
                <w:szCs w:val="20"/>
              </w:rPr>
              <w:t xml:space="preserve">, територіальна, естетико-стильова), формування уявлення про зародження й розвиток так званих регіональних шкіл в цей період (галицька, житомирська, східноукраїнська), про вияви неопозитивізму, неомодернізму й постмодернізму в різних регіональних школах.  </w:t>
            </w:r>
          </w:p>
        </w:tc>
      </w:tr>
      <w:tr w:rsidR="00C94616" w14:paraId="06C0F4BD" w14:textId="77777777" w:rsidTr="002948FC">
        <w:trPr>
          <w:trHeight w:val="634"/>
        </w:trPr>
        <w:tc>
          <w:tcPr>
            <w:tcW w:w="2162" w:type="dxa"/>
            <w:tcBorders>
              <w:top w:val="single" w:sz="8" w:space="0" w:color="auto"/>
              <w:left w:val="single" w:sz="8" w:space="0" w:color="auto"/>
              <w:bottom w:val="nil"/>
              <w:right w:val="nil"/>
            </w:tcBorders>
            <w:shd w:val="clear" w:color="auto" w:fill="FFFFFF" w:themeFill="background1"/>
            <w:vAlign w:val="center"/>
          </w:tcPr>
          <w:p w14:paraId="6B2AEB17" w14:textId="77777777" w:rsidR="00C94616" w:rsidRPr="00C94616" w:rsidRDefault="00C94616" w:rsidP="00C94616">
            <w:pPr>
              <w:spacing w:after="0"/>
              <w:rPr>
                <w:sz w:val="20"/>
                <w:szCs w:val="20"/>
              </w:rPr>
            </w:pPr>
            <w:r w:rsidRPr="00C94616">
              <w:rPr>
                <w:rFonts w:ascii="Times New Roman" w:eastAsia="Times New Roman" w:hAnsi="Times New Roman" w:cs="Times New Roman"/>
                <w:color w:val="000000" w:themeColor="text1"/>
                <w:sz w:val="20"/>
                <w:szCs w:val="20"/>
              </w:rPr>
              <w:t xml:space="preserve">Чому це цікаво/треба вивчати </w:t>
            </w:r>
          </w:p>
        </w:tc>
        <w:tc>
          <w:tcPr>
            <w:tcW w:w="7562" w:type="dxa"/>
            <w:tcBorders>
              <w:top w:val="single" w:sz="8" w:space="0" w:color="auto"/>
              <w:left w:val="single" w:sz="8" w:space="0" w:color="auto"/>
              <w:bottom w:val="nil"/>
              <w:right w:val="single" w:sz="8" w:space="0" w:color="auto"/>
            </w:tcBorders>
            <w:shd w:val="clear" w:color="auto" w:fill="FFFFFF" w:themeFill="background1"/>
            <w:vAlign w:val="center"/>
          </w:tcPr>
          <w:p w14:paraId="6889BA67" w14:textId="77777777" w:rsidR="00C94616" w:rsidRPr="00C94616" w:rsidRDefault="00C94616" w:rsidP="00C94616">
            <w:pPr>
              <w:spacing w:after="0" w:line="240" w:lineRule="auto"/>
              <w:jc w:val="both"/>
              <w:rPr>
                <w:sz w:val="20"/>
                <w:szCs w:val="20"/>
              </w:rPr>
            </w:pPr>
            <w:r w:rsidRPr="00C94616">
              <w:rPr>
                <w:rFonts w:ascii="Times New Roman" w:eastAsia="Times New Roman" w:hAnsi="Times New Roman" w:cs="Times New Roman"/>
                <w:color w:val="000000" w:themeColor="text1"/>
                <w:sz w:val="20"/>
                <w:szCs w:val="20"/>
              </w:rPr>
              <w:t xml:space="preserve">Усвідомлення того, як регіональна специфіка впливає на естетико-стильові особливості сучасної української літератури, поглибить загальне розуміння закономірностей літературного процесу. Матеріал для опанування дібрано так, щоб створити міцне підґрунтя для опанування історії українського постмодернізму, представити літературний процес зламу століть максимально розмаїто, розширити загальну ерудованість слухача щодо сучасної української літератури й особливостей її розвитку.   </w:t>
            </w:r>
          </w:p>
        </w:tc>
      </w:tr>
      <w:tr w:rsidR="00C94616" w14:paraId="53FD98D4" w14:textId="77777777" w:rsidTr="002948FC">
        <w:trPr>
          <w:trHeight w:val="755"/>
        </w:trPr>
        <w:tc>
          <w:tcPr>
            <w:tcW w:w="2162" w:type="dxa"/>
            <w:tcBorders>
              <w:top w:val="single" w:sz="8" w:space="0" w:color="auto"/>
              <w:left w:val="single" w:sz="8" w:space="0" w:color="auto"/>
              <w:bottom w:val="nil"/>
              <w:right w:val="nil"/>
            </w:tcBorders>
            <w:shd w:val="clear" w:color="auto" w:fill="FFFFFF" w:themeFill="background1"/>
            <w:vAlign w:val="center"/>
          </w:tcPr>
          <w:p w14:paraId="337998AE" w14:textId="77777777" w:rsidR="00C94616" w:rsidRPr="00C94616" w:rsidRDefault="00C94616" w:rsidP="00C94616">
            <w:pPr>
              <w:spacing w:after="0"/>
              <w:rPr>
                <w:sz w:val="20"/>
                <w:szCs w:val="20"/>
              </w:rPr>
            </w:pPr>
            <w:r w:rsidRPr="00C94616">
              <w:rPr>
                <w:rFonts w:ascii="Times New Roman" w:eastAsia="Times New Roman" w:hAnsi="Times New Roman" w:cs="Times New Roman"/>
                <w:color w:val="000000" w:themeColor="text1"/>
                <w:sz w:val="20"/>
                <w:szCs w:val="20"/>
              </w:rPr>
              <w:t xml:space="preserve">Чого можна навчитися (результати навчання) </w:t>
            </w:r>
          </w:p>
        </w:tc>
        <w:tc>
          <w:tcPr>
            <w:tcW w:w="7562" w:type="dxa"/>
            <w:tcBorders>
              <w:top w:val="single" w:sz="8" w:space="0" w:color="auto"/>
              <w:left w:val="single" w:sz="8" w:space="0" w:color="auto"/>
              <w:bottom w:val="nil"/>
              <w:right w:val="single" w:sz="8" w:space="0" w:color="auto"/>
            </w:tcBorders>
            <w:shd w:val="clear" w:color="auto" w:fill="FFFFFF" w:themeFill="background1"/>
            <w:vAlign w:val="center"/>
          </w:tcPr>
          <w:p w14:paraId="5AE31085" w14:textId="77777777" w:rsidR="00C94616" w:rsidRPr="00C94616" w:rsidRDefault="00C94616" w:rsidP="00C94616">
            <w:pPr>
              <w:spacing w:after="0" w:line="240" w:lineRule="auto"/>
              <w:jc w:val="both"/>
              <w:rPr>
                <w:sz w:val="20"/>
                <w:szCs w:val="20"/>
              </w:rPr>
            </w:pPr>
            <w:r w:rsidRPr="00C94616">
              <w:rPr>
                <w:rFonts w:ascii="Times New Roman" w:eastAsia="Times New Roman" w:hAnsi="Times New Roman" w:cs="Times New Roman"/>
                <w:color w:val="000000" w:themeColor="text1"/>
                <w:sz w:val="20"/>
                <w:szCs w:val="20"/>
              </w:rPr>
              <w:t xml:space="preserve">Знати, аналізувати, систематизувати й інтерпретувати </w:t>
            </w:r>
            <w:proofErr w:type="spellStart"/>
            <w:r w:rsidRPr="00C94616">
              <w:rPr>
                <w:rFonts w:ascii="Times New Roman" w:eastAsia="Times New Roman" w:hAnsi="Times New Roman" w:cs="Times New Roman"/>
                <w:color w:val="000000" w:themeColor="text1"/>
                <w:sz w:val="20"/>
                <w:szCs w:val="20"/>
              </w:rPr>
              <w:t>мовні</w:t>
            </w:r>
            <w:proofErr w:type="spellEnd"/>
            <w:r w:rsidRPr="00C94616">
              <w:rPr>
                <w:rFonts w:ascii="Times New Roman" w:eastAsia="Times New Roman" w:hAnsi="Times New Roman" w:cs="Times New Roman"/>
                <w:color w:val="000000" w:themeColor="text1"/>
                <w:sz w:val="20"/>
                <w:szCs w:val="20"/>
              </w:rPr>
              <w:t xml:space="preserve">, літературні, фольклорні факти в їхній пов’язаності з філологічною проблематикою, включати їх у професійну, зокрема й викладацьку, діяльність; аналізувати й інтерпретувати твори української та зарубіжної художньої літератури й усної народної творчості, визначати їх специфіку й місце в літературному процесі. </w:t>
            </w:r>
          </w:p>
        </w:tc>
      </w:tr>
      <w:tr w:rsidR="00C94616" w14:paraId="7FA74634" w14:textId="77777777" w:rsidTr="002948FC">
        <w:trPr>
          <w:trHeight w:val="634"/>
        </w:trPr>
        <w:tc>
          <w:tcPr>
            <w:tcW w:w="2162" w:type="dxa"/>
            <w:tcBorders>
              <w:top w:val="single" w:sz="8" w:space="0" w:color="auto"/>
              <w:left w:val="single" w:sz="8" w:space="0" w:color="auto"/>
              <w:bottom w:val="nil"/>
              <w:right w:val="nil"/>
            </w:tcBorders>
            <w:shd w:val="clear" w:color="auto" w:fill="FFFFFF" w:themeFill="background1"/>
            <w:vAlign w:val="center"/>
          </w:tcPr>
          <w:p w14:paraId="42DCE70A" w14:textId="77777777" w:rsidR="00C94616" w:rsidRPr="00C94616" w:rsidRDefault="00C94616" w:rsidP="00C94616">
            <w:pPr>
              <w:spacing w:after="0"/>
              <w:rPr>
                <w:sz w:val="20"/>
                <w:szCs w:val="20"/>
              </w:rPr>
            </w:pPr>
            <w:r w:rsidRPr="00C94616">
              <w:rPr>
                <w:rFonts w:ascii="Times New Roman" w:eastAsia="Times New Roman" w:hAnsi="Times New Roman" w:cs="Times New Roman"/>
                <w:color w:val="000000" w:themeColor="text1"/>
                <w:sz w:val="20"/>
                <w:szCs w:val="20"/>
              </w:rPr>
              <w:t xml:space="preserve">Як можна користуватися набутими знаннями й уміннями (компетентності) </w:t>
            </w:r>
          </w:p>
        </w:tc>
        <w:tc>
          <w:tcPr>
            <w:tcW w:w="7562" w:type="dxa"/>
            <w:tcBorders>
              <w:top w:val="single" w:sz="8" w:space="0" w:color="auto"/>
              <w:left w:val="single" w:sz="8" w:space="0" w:color="auto"/>
              <w:bottom w:val="nil"/>
              <w:right w:val="single" w:sz="8" w:space="0" w:color="auto"/>
            </w:tcBorders>
            <w:shd w:val="clear" w:color="auto" w:fill="FFFFFF" w:themeFill="background1"/>
            <w:vAlign w:val="center"/>
          </w:tcPr>
          <w:p w14:paraId="2F98454C" w14:textId="77777777" w:rsidR="00C94616" w:rsidRPr="00C94616" w:rsidRDefault="00C94616" w:rsidP="00C94616">
            <w:pPr>
              <w:spacing w:after="0" w:line="240" w:lineRule="auto"/>
              <w:jc w:val="both"/>
              <w:rPr>
                <w:sz w:val="20"/>
                <w:szCs w:val="20"/>
              </w:rPr>
            </w:pPr>
            <w:r w:rsidRPr="00C94616">
              <w:rPr>
                <w:rFonts w:ascii="Times New Roman" w:eastAsia="Times New Roman" w:hAnsi="Times New Roman" w:cs="Times New Roman"/>
                <w:color w:val="000000" w:themeColor="text1"/>
                <w:sz w:val="20"/>
                <w:szCs w:val="20"/>
              </w:rPr>
              <w:t xml:space="preserve">Фахові компетенції: базові уявлення про загальні властивості літератури як мистецтва слова, про закони побудови художнього твору, особливості письменницької праці, літературні стилі, наукові методи і школи в літературознавстві; базові уявлення про основні тенденції розвитку світового літературного процесу та української літератури. </w:t>
            </w:r>
          </w:p>
        </w:tc>
      </w:tr>
      <w:tr w:rsidR="00C94616" w14:paraId="2BBA258B" w14:textId="77777777" w:rsidTr="002948FC">
        <w:trPr>
          <w:trHeight w:val="552"/>
        </w:trPr>
        <w:tc>
          <w:tcPr>
            <w:tcW w:w="2162" w:type="dxa"/>
            <w:tcBorders>
              <w:top w:val="single" w:sz="8" w:space="0" w:color="auto"/>
              <w:left w:val="single" w:sz="8" w:space="0" w:color="auto"/>
              <w:bottom w:val="nil"/>
              <w:right w:val="nil"/>
            </w:tcBorders>
            <w:shd w:val="clear" w:color="auto" w:fill="FFFFFF" w:themeFill="background1"/>
            <w:vAlign w:val="center"/>
          </w:tcPr>
          <w:p w14:paraId="4F3D31AD" w14:textId="77777777" w:rsidR="00C94616" w:rsidRPr="00C94616" w:rsidRDefault="00C94616" w:rsidP="00C94616">
            <w:pPr>
              <w:spacing w:after="0" w:line="240" w:lineRule="auto"/>
              <w:rPr>
                <w:sz w:val="20"/>
                <w:szCs w:val="20"/>
              </w:rPr>
            </w:pPr>
            <w:r w:rsidRPr="00C94616">
              <w:rPr>
                <w:rFonts w:ascii="Times New Roman" w:eastAsia="Times New Roman" w:hAnsi="Times New Roman" w:cs="Times New Roman"/>
                <w:color w:val="000000" w:themeColor="text1"/>
                <w:sz w:val="20"/>
                <w:szCs w:val="20"/>
              </w:rPr>
              <w:t xml:space="preserve">Інформаційне забезпечення </w:t>
            </w:r>
          </w:p>
        </w:tc>
        <w:tc>
          <w:tcPr>
            <w:tcW w:w="7562" w:type="dxa"/>
            <w:tcBorders>
              <w:top w:val="single" w:sz="8" w:space="0" w:color="auto"/>
              <w:left w:val="single" w:sz="8" w:space="0" w:color="auto"/>
              <w:bottom w:val="nil"/>
              <w:right w:val="single" w:sz="8" w:space="0" w:color="auto"/>
            </w:tcBorders>
            <w:shd w:val="clear" w:color="auto" w:fill="FFFFFF" w:themeFill="background1"/>
            <w:vAlign w:val="center"/>
          </w:tcPr>
          <w:p w14:paraId="79A78C31" w14:textId="77777777" w:rsidR="00C94616" w:rsidRPr="00C94616" w:rsidRDefault="00C94616" w:rsidP="00C94616">
            <w:pPr>
              <w:spacing w:after="0"/>
              <w:rPr>
                <w:sz w:val="20"/>
                <w:szCs w:val="20"/>
              </w:rPr>
            </w:pPr>
            <w:r w:rsidRPr="00C94616">
              <w:rPr>
                <w:rFonts w:ascii="Times New Roman" w:eastAsia="Times New Roman" w:hAnsi="Times New Roman" w:cs="Times New Roman"/>
                <w:color w:val="000000" w:themeColor="text1"/>
                <w:sz w:val="20"/>
                <w:szCs w:val="20"/>
              </w:rPr>
              <w:t xml:space="preserve">Презентації до лекцій (слайди з ілюстраціями та основними тезами), конспект лекцій </w:t>
            </w:r>
          </w:p>
        </w:tc>
      </w:tr>
      <w:tr w:rsidR="00C94616" w14:paraId="72486444" w14:textId="77777777" w:rsidTr="002948FC">
        <w:trPr>
          <w:trHeight w:val="634"/>
        </w:trPr>
        <w:tc>
          <w:tcPr>
            <w:tcW w:w="2162" w:type="dxa"/>
            <w:tcBorders>
              <w:top w:val="single" w:sz="8" w:space="0" w:color="auto"/>
              <w:left w:val="single" w:sz="8" w:space="0" w:color="auto"/>
              <w:bottom w:val="nil"/>
              <w:right w:val="nil"/>
            </w:tcBorders>
            <w:shd w:val="clear" w:color="auto" w:fill="FFFFFF" w:themeFill="background1"/>
            <w:vAlign w:val="center"/>
          </w:tcPr>
          <w:p w14:paraId="1F3F1526" w14:textId="77777777" w:rsidR="00C94616" w:rsidRPr="00C94616" w:rsidRDefault="00C94616" w:rsidP="00C94616">
            <w:pPr>
              <w:spacing w:after="0" w:line="240" w:lineRule="auto"/>
              <w:rPr>
                <w:sz w:val="16"/>
                <w:szCs w:val="16"/>
              </w:rPr>
            </w:pPr>
            <w:r w:rsidRPr="00C94616">
              <w:rPr>
                <w:rFonts w:ascii="Times New Roman" w:eastAsia="Times New Roman" w:hAnsi="Times New Roman" w:cs="Times New Roman"/>
                <w:color w:val="000000" w:themeColor="text1"/>
                <w:sz w:val="16"/>
                <w:szCs w:val="16"/>
              </w:rPr>
              <w:t xml:space="preserve">Види навчальних занять (лекції, практичні, семінарські, лабораторні заняття тощо) </w:t>
            </w:r>
          </w:p>
        </w:tc>
        <w:tc>
          <w:tcPr>
            <w:tcW w:w="7562" w:type="dxa"/>
            <w:tcBorders>
              <w:top w:val="single" w:sz="8" w:space="0" w:color="auto"/>
              <w:left w:val="single" w:sz="8" w:space="0" w:color="auto"/>
              <w:bottom w:val="nil"/>
              <w:right w:val="single" w:sz="8" w:space="0" w:color="auto"/>
            </w:tcBorders>
            <w:shd w:val="clear" w:color="auto" w:fill="FFFFFF" w:themeFill="background1"/>
            <w:vAlign w:val="center"/>
          </w:tcPr>
          <w:p w14:paraId="521B0980" w14:textId="77777777" w:rsidR="00C94616" w:rsidRPr="00C94616" w:rsidRDefault="00C94616" w:rsidP="00C94616">
            <w:pPr>
              <w:spacing w:after="0"/>
              <w:rPr>
                <w:sz w:val="20"/>
                <w:szCs w:val="20"/>
              </w:rPr>
            </w:pPr>
            <w:r w:rsidRPr="00C94616">
              <w:rPr>
                <w:rFonts w:ascii="Times New Roman" w:eastAsia="Times New Roman" w:hAnsi="Times New Roman" w:cs="Times New Roman"/>
                <w:color w:val="000000" w:themeColor="text1"/>
                <w:sz w:val="20"/>
                <w:szCs w:val="20"/>
              </w:rPr>
              <w:t xml:space="preserve"> Лекції, практичні </w:t>
            </w:r>
          </w:p>
        </w:tc>
      </w:tr>
      <w:tr w:rsidR="00C94616" w14:paraId="51EF9458" w14:textId="77777777" w:rsidTr="002948FC">
        <w:trPr>
          <w:trHeight w:val="302"/>
        </w:trPr>
        <w:tc>
          <w:tcPr>
            <w:tcW w:w="2162" w:type="dxa"/>
            <w:tcBorders>
              <w:top w:val="single" w:sz="8" w:space="0" w:color="auto"/>
              <w:left w:val="single" w:sz="8" w:space="0" w:color="auto"/>
              <w:bottom w:val="single" w:sz="8" w:space="0" w:color="auto"/>
              <w:right w:val="nil"/>
            </w:tcBorders>
            <w:shd w:val="clear" w:color="auto" w:fill="FFFFFF" w:themeFill="background1"/>
            <w:vAlign w:val="center"/>
          </w:tcPr>
          <w:p w14:paraId="5E3B6CB4" w14:textId="77777777" w:rsidR="00C94616" w:rsidRPr="00C94616" w:rsidRDefault="00C94616" w:rsidP="00C94616">
            <w:pPr>
              <w:spacing w:after="0" w:line="240" w:lineRule="auto"/>
              <w:rPr>
                <w:sz w:val="20"/>
                <w:szCs w:val="20"/>
              </w:rPr>
            </w:pPr>
            <w:r w:rsidRPr="00C94616">
              <w:rPr>
                <w:rFonts w:ascii="Times New Roman" w:eastAsia="Times New Roman" w:hAnsi="Times New Roman" w:cs="Times New Roman"/>
                <w:color w:val="000000" w:themeColor="text1"/>
                <w:sz w:val="20"/>
                <w:szCs w:val="20"/>
              </w:rPr>
              <w:t xml:space="preserve">Вид семестрового контролю </w:t>
            </w:r>
          </w:p>
        </w:tc>
        <w:tc>
          <w:tcPr>
            <w:tcW w:w="756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8C613BA" w14:textId="77777777" w:rsidR="00C94616" w:rsidRPr="00C94616" w:rsidRDefault="00C94616" w:rsidP="00C94616">
            <w:pPr>
              <w:spacing w:after="0"/>
              <w:rPr>
                <w:sz w:val="20"/>
                <w:szCs w:val="20"/>
              </w:rPr>
            </w:pPr>
            <w:r w:rsidRPr="00C94616">
              <w:rPr>
                <w:rFonts w:ascii="Times New Roman" w:eastAsia="Times New Roman" w:hAnsi="Times New Roman" w:cs="Times New Roman"/>
                <w:color w:val="000000" w:themeColor="text1"/>
                <w:sz w:val="20"/>
                <w:szCs w:val="20"/>
              </w:rPr>
              <w:t> </w:t>
            </w:r>
            <w:proofErr w:type="spellStart"/>
            <w:r w:rsidRPr="00C94616">
              <w:rPr>
                <w:rFonts w:ascii="Times New Roman" w:eastAsia="Times New Roman" w:hAnsi="Times New Roman" w:cs="Times New Roman"/>
                <w:color w:val="000000" w:themeColor="text1"/>
                <w:sz w:val="20"/>
                <w:szCs w:val="20"/>
              </w:rPr>
              <w:t>Диф</w:t>
            </w:r>
            <w:proofErr w:type="spellEnd"/>
            <w:r w:rsidRPr="00C94616">
              <w:rPr>
                <w:rFonts w:ascii="Times New Roman" w:eastAsia="Times New Roman" w:hAnsi="Times New Roman" w:cs="Times New Roman"/>
                <w:color w:val="000000" w:themeColor="text1"/>
                <w:sz w:val="20"/>
                <w:szCs w:val="20"/>
              </w:rPr>
              <w:t xml:space="preserve">. залік </w:t>
            </w:r>
          </w:p>
        </w:tc>
      </w:tr>
      <w:tr w:rsidR="00C94616" w14:paraId="34B9F502" w14:textId="77777777" w:rsidTr="002948FC">
        <w:trPr>
          <w:trHeight w:val="507"/>
        </w:trPr>
        <w:tc>
          <w:tcPr>
            <w:tcW w:w="2162" w:type="dxa"/>
            <w:tcBorders>
              <w:top w:val="single" w:sz="8" w:space="0" w:color="auto"/>
              <w:left w:val="single" w:sz="8" w:space="0" w:color="auto"/>
              <w:bottom w:val="single" w:sz="8" w:space="0" w:color="auto"/>
              <w:right w:val="nil"/>
            </w:tcBorders>
            <w:shd w:val="clear" w:color="auto" w:fill="FFFFFF" w:themeFill="background1"/>
            <w:vAlign w:val="center"/>
          </w:tcPr>
          <w:p w14:paraId="6F1AE2A3" w14:textId="114A28B6" w:rsidR="00C94616" w:rsidRPr="00C94616" w:rsidRDefault="00C94616" w:rsidP="00C94616">
            <w:pPr>
              <w:spacing w:after="0" w:line="240" w:lineRule="auto"/>
              <w:rPr>
                <w:sz w:val="20"/>
                <w:szCs w:val="20"/>
              </w:rPr>
            </w:pPr>
            <w:r w:rsidRPr="00C94616">
              <w:rPr>
                <w:rFonts w:ascii="Times New Roman" w:eastAsia="Times New Roman" w:hAnsi="Times New Roman" w:cs="Times New Roman"/>
                <w:color w:val="000000" w:themeColor="text1"/>
                <w:sz w:val="20"/>
                <w:szCs w:val="20"/>
              </w:rPr>
              <w:t xml:space="preserve">Максимальна кількість здобувачів </w:t>
            </w:r>
          </w:p>
        </w:tc>
        <w:tc>
          <w:tcPr>
            <w:tcW w:w="756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5756BEA" w14:textId="77777777" w:rsidR="00C94616" w:rsidRPr="00C94616" w:rsidRDefault="00C94616" w:rsidP="00C94616">
            <w:pPr>
              <w:spacing w:after="0"/>
              <w:rPr>
                <w:sz w:val="20"/>
                <w:szCs w:val="20"/>
              </w:rPr>
            </w:pPr>
            <w:r w:rsidRPr="00C94616">
              <w:rPr>
                <w:rFonts w:ascii="Times New Roman" w:eastAsia="Times New Roman" w:hAnsi="Times New Roman" w:cs="Times New Roman"/>
                <w:color w:val="000000" w:themeColor="text1"/>
                <w:sz w:val="20"/>
                <w:szCs w:val="20"/>
              </w:rPr>
              <w:t xml:space="preserve">30 </w:t>
            </w:r>
          </w:p>
        </w:tc>
      </w:tr>
      <w:tr w:rsidR="00C94616" w14:paraId="67559385" w14:textId="77777777" w:rsidTr="002948FC">
        <w:trPr>
          <w:trHeight w:val="634"/>
        </w:trPr>
        <w:tc>
          <w:tcPr>
            <w:tcW w:w="2162" w:type="dxa"/>
            <w:tcBorders>
              <w:top w:val="single" w:sz="8" w:space="0" w:color="auto"/>
              <w:left w:val="single" w:sz="8" w:space="0" w:color="auto"/>
              <w:bottom w:val="single" w:sz="8" w:space="0" w:color="auto"/>
              <w:right w:val="nil"/>
            </w:tcBorders>
            <w:shd w:val="clear" w:color="auto" w:fill="FFFFFF" w:themeFill="background1"/>
            <w:vAlign w:val="center"/>
          </w:tcPr>
          <w:p w14:paraId="5CF91116" w14:textId="77777777" w:rsidR="00C94616" w:rsidRPr="00C94616" w:rsidRDefault="00C94616" w:rsidP="00C94616">
            <w:pPr>
              <w:spacing w:after="0" w:line="240" w:lineRule="auto"/>
              <w:rPr>
                <w:sz w:val="16"/>
                <w:szCs w:val="16"/>
              </w:rPr>
            </w:pPr>
            <w:r w:rsidRPr="00C94616">
              <w:rPr>
                <w:rFonts w:ascii="Times New Roman" w:eastAsia="Times New Roman" w:hAnsi="Times New Roman" w:cs="Times New Roman"/>
                <w:color w:val="000000" w:themeColor="text1"/>
                <w:sz w:val="16"/>
                <w:szCs w:val="16"/>
              </w:rPr>
              <w:t xml:space="preserve">Мінімальна кількість здобувачів </w:t>
            </w:r>
            <w:r w:rsidRPr="00C94616">
              <w:rPr>
                <w:rFonts w:ascii="Times New Roman" w:eastAsia="Times New Roman" w:hAnsi="Times New Roman" w:cs="Times New Roman"/>
                <w:i/>
                <w:iCs/>
                <w:color w:val="000000" w:themeColor="text1"/>
                <w:sz w:val="16"/>
                <w:szCs w:val="16"/>
              </w:rPr>
              <w:t xml:space="preserve">(для </w:t>
            </w:r>
            <w:proofErr w:type="spellStart"/>
            <w:r w:rsidRPr="00C94616">
              <w:rPr>
                <w:rFonts w:ascii="Times New Roman" w:eastAsia="Times New Roman" w:hAnsi="Times New Roman" w:cs="Times New Roman"/>
                <w:i/>
                <w:iCs/>
                <w:color w:val="000000" w:themeColor="text1"/>
                <w:sz w:val="16"/>
                <w:szCs w:val="16"/>
              </w:rPr>
              <w:t>мовних</w:t>
            </w:r>
            <w:proofErr w:type="spellEnd"/>
            <w:r w:rsidRPr="00C94616">
              <w:rPr>
                <w:rFonts w:ascii="Times New Roman" w:eastAsia="Times New Roman" w:hAnsi="Times New Roman" w:cs="Times New Roman"/>
                <w:i/>
                <w:iCs/>
                <w:color w:val="000000" w:themeColor="text1"/>
                <w:sz w:val="16"/>
                <w:szCs w:val="16"/>
              </w:rPr>
              <w:t xml:space="preserve"> та творчих дисциплін)</w:t>
            </w:r>
            <w:r w:rsidRPr="00C94616">
              <w:rPr>
                <w:rFonts w:ascii="Times New Roman" w:eastAsia="Times New Roman" w:hAnsi="Times New Roman" w:cs="Times New Roman"/>
                <w:color w:val="000000" w:themeColor="text1"/>
                <w:sz w:val="16"/>
                <w:szCs w:val="16"/>
              </w:rPr>
              <w:t xml:space="preserve"> </w:t>
            </w:r>
          </w:p>
        </w:tc>
        <w:tc>
          <w:tcPr>
            <w:tcW w:w="756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A115E25" w14:textId="13C7C5BA" w:rsidR="00C94616" w:rsidRPr="00C94616" w:rsidRDefault="00C94616" w:rsidP="00C94616">
            <w:pPr>
              <w:spacing w:after="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w:t>
            </w:r>
          </w:p>
        </w:tc>
      </w:tr>
    </w:tbl>
    <w:p w14:paraId="12CD21CF" w14:textId="77777777" w:rsidR="00C94616" w:rsidRDefault="00C94616" w:rsidP="691F1276"/>
    <w:sectPr w:rsidR="00C94616">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D97EB85"/>
    <w:rsid w:val="001B1A3E"/>
    <w:rsid w:val="002948FC"/>
    <w:rsid w:val="00C94616"/>
    <w:rsid w:val="0D97EB85"/>
    <w:rsid w:val="691F12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7EB85"/>
  <w15:chartTrackingRefBased/>
  <w15:docId w15:val="{E9D88167-15ED-49E7-85C7-D321AB3DA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A385DC06D9F3940A173FB4681E519AF" ma:contentTypeVersion="2" ma:contentTypeDescription="Створення нового документа." ma:contentTypeScope="" ma:versionID="3a1d6399abe186f9153922fcd232f43f">
  <xsd:schema xmlns:xsd="http://www.w3.org/2001/XMLSchema" xmlns:xs="http://www.w3.org/2001/XMLSchema" xmlns:p="http://schemas.microsoft.com/office/2006/metadata/properties" xmlns:ns2="5e4b880b-9c61-42ee-94a4-a6324e5ead71" targetNamespace="http://schemas.microsoft.com/office/2006/metadata/properties" ma:root="true" ma:fieldsID="14811c63a1d61ff560e674a094a25254" ns2:_="">
    <xsd:import namespace="5e4b880b-9c61-42ee-94a4-a6324e5ead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4b880b-9c61-42ee-94a4-a6324e5ead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12C534-DE6E-47F9-B570-5CABE076FF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B48E8F-BC2B-4A63-877F-6E65FAD2F1BD}">
  <ds:schemaRefs>
    <ds:schemaRef ds:uri="http://schemas.microsoft.com/sharepoint/v3/contenttype/forms"/>
  </ds:schemaRefs>
</ds:datastoreItem>
</file>

<file path=customXml/itemProps3.xml><?xml version="1.0" encoding="utf-8"?>
<ds:datastoreItem xmlns:ds="http://schemas.openxmlformats.org/officeDocument/2006/customXml" ds:itemID="{88918CC6-AB24-470E-B72E-A9292F573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4b880b-9c61-42ee-94a4-a6324e5ead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455</Words>
  <Characters>2596</Characters>
  <Application>Microsoft Office Word</Application>
  <DocSecurity>0</DocSecurity>
  <Lines>21</Lines>
  <Paragraphs>6</Paragraphs>
  <ScaleCrop>false</ScaleCrop>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Кропивко</dc:creator>
  <cp:keywords/>
  <dc:description/>
  <cp:lastModifiedBy>KK RAK</cp:lastModifiedBy>
  <cp:revision>3</cp:revision>
  <dcterms:created xsi:type="dcterms:W3CDTF">2020-09-03T12:35:00Z</dcterms:created>
  <dcterms:modified xsi:type="dcterms:W3CDTF">2020-10-10T19:06:00Z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0x0101003A385DC06D9F3940A173FB4681E519AF</vt:lpwstr>
  </property>
</Properties>
</file>