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96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364"/>
        <w:gridCol w:w="6796"/>
      </w:tblGrid>
      <w:tr w:rsidR="00601A1E" w:rsidRPr="0023623F" w:rsidTr="00DA7C10">
        <w:trPr>
          <w:trHeight w:val="448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01A1E" w:rsidRPr="00A85C58" w:rsidRDefault="00601A1E" w:rsidP="00A85C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5C5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A1E" w:rsidRPr="00A85C58" w:rsidRDefault="00601A1E" w:rsidP="00A85C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7C1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І-125-12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A85C5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Сучасні методи біометричної ідентифікації в задачах захисту від несанкціонованого доступу</w:t>
            </w:r>
          </w:p>
        </w:tc>
      </w:tr>
      <w:tr w:rsidR="00601A1E" w:rsidRPr="0023623F" w:rsidTr="00DA7C10">
        <w:trPr>
          <w:trHeight w:val="348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01A1E" w:rsidRPr="00A85C58" w:rsidRDefault="00601A1E" w:rsidP="00A85C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5C5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A85C58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01A1E" w:rsidRPr="00A85C58" w:rsidRDefault="00601A1E" w:rsidP="00A85C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5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 Інформаційні технології</w:t>
            </w:r>
          </w:p>
        </w:tc>
      </w:tr>
      <w:tr w:rsidR="00601A1E" w:rsidRPr="0023623F" w:rsidTr="00DA7C10">
        <w:trPr>
          <w:trHeight w:val="341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01A1E" w:rsidRPr="00A85C58" w:rsidRDefault="00601A1E" w:rsidP="00A85C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5C5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01A1E" w:rsidRPr="00A85C58" w:rsidRDefault="00601A1E" w:rsidP="00A85C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5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  <w:r w:rsidRPr="00A85C58">
              <w:rPr>
                <w:rFonts w:ascii="Times New Roman" w:hAnsi="Times New Roman"/>
                <w:sz w:val="20"/>
                <w:szCs w:val="20"/>
                <w:lang w:val="uk-UA"/>
              </w:rPr>
              <w:t>Радіоелектронної автоматики</w:t>
            </w:r>
          </w:p>
        </w:tc>
      </w:tr>
      <w:tr w:rsidR="00601A1E" w:rsidRPr="0023623F" w:rsidTr="00DA7C10">
        <w:trPr>
          <w:trHeight w:val="404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01A1E" w:rsidRPr="00A85C58" w:rsidRDefault="00601A1E" w:rsidP="00A85C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5C5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A85C58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01A1E" w:rsidRPr="00A85C58" w:rsidRDefault="00601A1E" w:rsidP="00A85C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601A1E" w:rsidRPr="0023623F" w:rsidTr="00DA7C10">
        <w:trPr>
          <w:trHeight w:val="410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01A1E" w:rsidRPr="00A85C58" w:rsidRDefault="00601A1E" w:rsidP="00A85C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5C5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01A1E" w:rsidRPr="00A85C58" w:rsidRDefault="00601A1E" w:rsidP="00A85C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5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Перший  (бакалаврський)</w:t>
            </w:r>
          </w:p>
        </w:tc>
      </w:tr>
      <w:tr w:rsidR="00601A1E" w:rsidRPr="0023623F" w:rsidTr="00DA7C10">
        <w:trPr>
          <w:trHeight w:val="644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01A1E" w:rsidRPr="00A85C58" w:rsidRDefault="00601A1E" w:rsidP="00A85C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5C5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A85C58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01A1E" w:rsidRPr="00A85C58" w:rsidRDefault="00601A1E" w:rsidP="00A85C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58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A85C5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курс 8 семестр – для студентів, що навчаються на основі повної загальної середньої освіти;</w:t>
            </w:r>
          </w:p>
        </w:tc>
      </w:tr>
      <w:tr w:rsidR="00601A1E" w:rsidRPr="0023623F" w:rsidTr="00DA7C10">
        <w:trPr>
          <w:trHeight w:val="298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01A1E" w:rsidRPr="00A85C58" w:rsidRDefault="00601A1E" w:rsidP="00A85C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5C5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01A1E" w:rsidRPr="00A85C58" w:rsidRDefault="00601A1E" w:rsidP="00A85C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5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українська</w:t>
            </w:r>
          </w:p>
        </w:tc>
      </w:tr>
      <w:tr w:rsidR="00601A1E" w:rsidRPr="0023623F" w:rsidTr="00DA7C10">
        <w:trPr>
          <w:trHeight w:val="644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01A1E" w:rsidRPr="00A85C58" w:rsidRDefault="00601A1E" w:rsidP="00A85C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5C5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01A1E" w:rsidRPr="00A85C58" w:rsidRDefault="00601A1E" w:rsidP="00A85C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 w:rsidRPr="00A85C58">
              <w:rPr>
                <w:rFonts w:ascii="Times New Roman" w:hAnsi="Times New Roman"/>
                <w:sz w:val="20"/>
                <w:szCs w:val="20"/>
                <w:lang w:val="uk-UA"/>
              </w:rPr>
              <w:t>Вища математика, інформаційні технології, програмування в інженерних розрахунках</w:t>
            </w:r>
          </w:p>
        </w:tc>
      </w:tr>
      <w:tr w:rsidR="00601A1E" w:rsidRPr="00DA7C10" w:rsidTr="00DA7C10">
        <w:trPr>
          <w:trHeight w:val="644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01A1E" w:rsidRPr="00A85C58" w:rsidRDefault="00601A1E" w:rsidP="00A85C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5C5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01A1E" w:rsidRPr="00A85C58" w:rsidRDefault="00601A1E" w:rsidP="00A85C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A85C58">
              <w:rPr>
                <w:rFonts w:ascii="Times New Roman" w:hAnsi="Times New Roman"/>
                <w:sz w:val="20"/>
                <w:szCs w:val="20"/>
                <w:lang w:val="uk-UA"/>
              </w:rPr>
              <w:t>Метою вивчення дисципліни «Сучасні методи біометричної ідентифікації в задачах захисту від несанкціонованого доступу» є загальне уявлення про сучасний</w:t>
            </w:r>
            <w:r w:rsidRPr="00A85C58">
              <w:rPr>
                <w:rFonts w:ascii="Times New Roman" w:hAnsi="Times New Roman"/>
                <w:color w:val="2C3841"/>
                <w:sz w:val="20"/>
                <w:szCs w:val="20"/>
                <w:shd w:val="clear" w:color="auto" w:fill="FFFFFF"/>
                <w:lang w:val="uk-UA"/>
              </w:rPr>
              <w:t xml:space="preserve"> стан стандартизації в області біометрії та розглянуто основи біометричних технологій, які призначені для аутентифікації особи на основі використання біометричних характеристик людини. </w:t>
            </w:r>
          </w:p>
        </w:tc>
      </w:tr>
      <w:tr w:rsidR="00601A1E" w:rsidRPr="00DA7C10" w:rsidTr="00DA7C10">
        <w:trPr>
          <w:trHeight w:val="644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01A1E" w:rsidRPr="00A85C58" w:rsidRDefault="00601A1E" w:rsidP="00A85C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5C5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01A1E" w:rsidRPr="00A85C58" w:rsidRDefault="00601A1E" w:rsidP="00A85C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58">
              <w:rPr>
                <w:rFonts w:ascii="Times New Roman" w:hAnsi="Times New Roman"/>
                <w:color w:val="2C3841"/>
                <w:sz w:val="20"/>
                <w:szCs w:val="20"/>
                <w:shd w:val="clear" w:color="auto" w:fill="FFFFFF"/>
                <w:lang w:val="uk-UA"/>
              </w:rPr>
              <w:t>Розглянуті о</w:t>
            </w:r>
            <w:r w:rsidRPr="00A85C58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собливості</w:t>
            </w:r>
            <w:r w:rsidRPr="00A85C58">
              <w:rPr>
                <w:rFonts w:ascii="Times New Roman" w:hAnsi="Times New Roman"/>
                <w:color w:val="5E6D81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A85C58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біометричних систем розпізнання людини, видів використання біометричних систем, форми реалізації, стратегії та сучасні тенденції розвитку технічних прогресів.</w:t>
            </w:r>
          </w:p>
        </w:tc>
      </w:tr>
      <w:tr w:rsidR="00601A1E" w:rsidRPr="00DA7C10" w:rsidTr="00DA7C10">
        <w:trPr>
          <w:trHeight w:val="644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01A1E" w:rsidRPr="00A85C58" w:rsidRDefault="00601A1E" w:rsidP="00A85C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5C5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01A1E" w:rsidRPr="00A85C58" w:rsidRDefault="00601A1E" w:rsidP="00A85C58">
            <w:pPr>
              <w:pStyle w:val="a0"/>
              <w:tabs>
                <w:tab w:val="left" w:pos="851"/>
              </w:tabs>
              <w:suppressAutoHyphens/>
              <w:jc w:val="both"/>
              <w:rPr>
                <w:sz w:val="20"/>
                <w:lang w:val="uk-UA"/>
              </w:rPr>
            </w:pPr>
            <w:r w:rsidRPr="00A85C58">
              <w:rPr>
                <w:sz w:val="20"/>
                <w:lang w:val="uk-UA"/>
              </w:rPr>
              <w:t xml:space="preserve">ПРН 5. Здатність адаптуватися в умовах частої зміни технологій професійної діяльності, прогнозувати кінцевий результат; </w:t>
            </w:r>
          </w:p>
          <w:p w:rsidR="00601A1E" w:rsidRPr="00A85C58" w:rsidRDefault="00601A1E" w:rsidP="00A85C58">
            <w:pPr>
              <w:pStyle w:val="a0"/>
              <w:tabs>
                <w:tab w:val="left" w:pos="851"/>
              </w:tabs>
              <w:suppressAutoHyphens/>
              <w:jc w:val="both"/>
              <w:rPr>
                <w:sz w:val="20"/>
                <w:lang w:val="uk-UA"/>
              </w:rPr>
            </w:pPr>
            <w:r w:rsidRPr="00A85C58">
              <w:rPr>
                <w:sz w:val="20"/>
                <w:lang w:val="uk-UA"/>
              </w:rPr>
              <w:t xml:space="preserve">ПРН 9. Здатність впроваджувати процеси, що базуються на національних та міжнародних стандартах, виявлення, ідентифікації, аналізу та реагування на інциденти інформаційної та/або кібербезпеки; </w:t>
            </w:r>
          </w:p>
          <w:p w:rsidR="00601A1E" w:rsidRPr="00A85C58" w:rsidRDefault="00601A1E" w:rsidP="00A85C58">
            <w:pPr>
              <w:pStyle w:val="a0"/>
              <w:tabs>
                <w:tab w:val="left" w:pos="851"/>
              </w:tabs>
              <w:suppressAutoHyphens/>
              <w:jc w:val="both"/>
              <w:rPr>
                <w:sz w:val="20"/>
                <w:lang w:val="uk-UA"/>
              </w:rPr>
            </w:pPr>
            <w:r w:rsidRPr="00A85C58">
              <w:rPr>
                <w:sz w:val="20"/>
                <w:lang w:val="uk-UA"/>
              </w:rPr>
              <w:t xml:space="preserve">ПРН 23. Здатність реалізовувати заходи з протидії отриманню несанкціонованого доступу до інформаційних ресурсів і процесів в інформаційних та інформаційно-телекомунікаційних  (автоматизованих) системах; </w:t>
            </w:r>
          </w:p>
          <w:p w:rsidR="00601A1E" w:rsidRPr="00A85C58" w:rsidRDefault="00601A1E" w:rsidP="00A85C58">
            <w:pPr>
              <w:pStyle w:val="a0"/>
              <w:tabs>
                <w:tab w:val="left" w:pos="851"/>
              </w:tabs>
              <w:suppressAutoHyphens/>
              <w:jc w:val="both"/>
              <w:rPr>
                <w:sz w:val="20"/>
                <w:lang w:val="uk-UA"/>
              </w:rPr>
            </w:pPr>
            <w:r w:rsidRPr="00A85C58">
              <w:rPr>
                <w:sz w:val="20"/>
                <w:lang w:val="uk-UA"/>
              </w:rPr>
              <w:t xml:space="preserve">ПРН 42. Здатність впроваджувати процеси виявлення, ідентифікації, аналізу та реагування на інциденти інформаційної і/або кібербезпеки; </w:t>
            </w:r>
          </w:p>
          <w:p w:rsidR="00601A1E" w:rsidRPr="00A85C58" w:rsidRDefault="00601A1E" w:rsidP="00A85C58">
            <w:pPr>
              <w:pStyle w:val="a0"/>
              <w:tabs>
                <w:tab w:val="left" w:pos="851"/>
              </w:tabs>
              <w:suppressAutoHyphens/>
              <w:jc w:val="both"/>
              <w:rPr>
                <w:lang w:val="uk-UA"/>
              </w:rPr>
            </w:pPr>
            <w:r w:rsidRPr="00A85C58">
              <w:rPr>
                <w:sz w:val="20"/>
                <w:lang w:val="uk-UA"/>
              </w:rPr>
              <w:t>ПРН 46. Здатність здійснювати аналіз та мінімізацію ризиків обробки інформації в інформаційно-телекомунікаційних системах;</w:t>
            </w:r>
            <w:r w:rsidRPr="00A85C58">
              <w:rPr>
                <w:lang w:val="uk-UA"/>
              </w:rPr>
              <w:t xml:space="preserve"> </w:t>
            </w:r>
          </w:p>
        </w:tc>
      </w:tr>
      <w:tr w:rsidR="00601A1E" w:rsidRPr="00DA7C10" w:rsidTr="00DA7C10">
        <w:trPr>
          <w:trHeight w:val="2886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01A1E" w:rsidRPr="00A85C58" w:rsidRDefault="00601A1E" w:rsidP="00A85C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5C5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01A1E" w:rsidRPr="00A85C58" w:rsidRDefault="00601A1E" w:rsidP="00A85C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ЗК 2. Знання та розуміння предметної області та розуміння професії.   </w:t>
            </w:r>
          </w:p>
          <w:p w:rsidR="00601A1E" w:rsidRPr="00A85C58" w:rsidRDefault="00601A1E" w:rsidP="00A85C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58">
              <w:rPr>
                <w:rFonts w:ascii="Times New Roman" w:hAnsi="Times New Roman"/>
                <w:sz w:val="20"/>
                <w:szCs w:val="20"/>
              </w:rPr>
              <w:t xml:space="preserve">КФ </w:t>
            </w:r>
            <w:r w:rsidRPr="00A85C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Здатність до використання програмних та програмно-апаратних комплексів засобів захисту інформації в інформаційно-телекомунікаційних (автоматизованих) системах. </w:t>
            </w:r>
          </w:p>
          <w:p w:rsidR="00601A1E" w:rsidRPr="00A85C58" w:rsidRDefault="00601A1E" w:rsidP="00A85C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КФ 4. Здатність забезпечувати неперервність бізнесу згідно встановленої політики інформаційної та/або кібербезпеки. </w:t>
            </w:r>
          </w:p>
          <w:p w:rsidR="00601A1E" w:rsidRPr="00A85C58" w:rsidRDefault="00601A1E" w:rsidP="00A85C5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КФ 11. Здатність виконувати моніторинг процесів функціону-вання інформаційних, інформаційно-телекомунікаційних (автоматизованих) систем згідно встановленої політики інформаційної та/або кібербезпеки. </w:t>
            </w:r>
          </w:p>
        </w:tc>
      </w:tr>
      <w:tr w:rsidR="00601A1E" w:rsidRPr="0023623F" w:rsidTr="00DA7C10">
        <w:trPr>
          <w:trHeight w:val="390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01A1E" w:rsidRPr="00A85C58" w:rsidRDefault="00601A1E" w:rsidP="00A85C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5C5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01A1E" w:rsidRPr="00A85C58" w:rsidRDefault="00601A1E" w:rsidP="00A85C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5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Конспект лекцій. Методичні вказівки до виконання лабораторних робіт</w:t>
            </w:r>
          </w:p>
        </w:tc>
      </w:tr>
      <w:tr w:rsidR="00601A1E" w:rsidRPr="0023623F" w:rsidTr="00DA7C10">
        <w:trPr>
          <w:trHeight w:val="644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01A1E" w:rsidRPr="00A85C58" w:rsidRDefault="00601A1E" w:rsidP="00A85C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5C5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01A1E" w:rsidRPr="00A85C58" w:rsidRDefault="00601A1E" w:rsidP="00A85C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5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Лекції</w:t>
            </w:r>
          </w:p>
          <w:p w:rsidR="00601A1E" w:rsidRPr="00A85C58" w:rsidRDefault="00601A1E" w:rsidP="00A85C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5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Лабораторні заняття</w:t>
            </w:r>
          </w:p>
        </w:tc>
      </w:tr>
      <w:tr w:rsidR="00601A1E" w:rsidRPr="0023623F" w:rsidTr="00DA7C10">
        <w:trPr>
          <w:trHeight w:val="125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01A1E" w:rsidRPr="00A85C58" w:rsidRDefault="00601A1E" w:rsidP="00A85C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5C5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1A1E" w:rsidRPr="00A85C58" w:rsidRDefault="00601A1E" w:rsidP="00A85C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5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Залік</w:t>
            </w:r>
          </w:p>
        </w:tc>
      </w:tr>
      <w:tr w:rsidR="00601A1E" w:rsidRPr="0023623F" w:rsidTr="00DA7C10">
        <w:trPr>
          <w:trHeight w:val="243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01A1E" w:rsidRPr="00A85C58" w:rsidRDefault="00601A1E" w:rsidP="00A85C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85C5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6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1A1E" w:rsidRPr="00A85C58" w:rsidRDefault="00601A1E" w:rsidP="00A85C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58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</w:tr>
    </w:tbl>
    <w:p w:rsidR="00601A1E" w:rsidRPr="0023623F" w:rsidRDefault="00601A1E" w:rsidP="0023623F">
      <w:pPr>
        <w:spacing w:line="240" w:lineRule="auto"/>
        <w:rPr>
          <w:lang w:val="uk-UA"/>
        </w:rPr>
      </w:pPr>
    </w:p>
    <w:sectPr w:rsidR="00601A1E" w:rsidRPr="0023623F" w:rsidSect="006A62CE">
      <w:pgSz w:w="11906" w:h="16838"/>
      <w:pgMar w:top="426" w:right="850" w:bottom="850" w:left="1417" w:header="708" w:footer="708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ПРН%1."/>
      <w:lvlJc w:val="left"/>
      <w:pPr>
        <w:tabs>
          <w:tab w:val="num" w:pos="284"/>
        </w:tabs>
        <w:ind w:left="644" w:hanging="360"/>
      </w:pPr>
      <w:rPr>
        <w:rFonts w:cs="Times New Roman"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446"/>
    <w:rsid w:val="000E1A81"/>
    <w:rsid w:val="00100A39"/>
    <w:rsid w:val="0023623F"/>
    <w:rsid w:val="00292294"/>
    <w:rsid w:val="00355188"/>
    <w:rsid w:val="00560D7B"/>
    <w:rsid w:val="00601A1E"/>
    <w:rsid w:val="006A62CE"/>
    <w:rsid w:val="00834DE7"/>
    <w:rsid w:val="00A014DD"/>
    <w:rsid w:val="00A85C58"/>
    <w:rsid w:val="00AA256B"/>
    <w:rsid w:val="00AA7A25"/>
    <w:rsid w:val="00B822F5"/>
    <w:rsid w:val="00DA7C10"/>
    <w:rsid w:val="00DB3F92"/>
    <w:rsid w:val="00F16446"/>
    <w:rsid w:val="00F8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20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20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20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20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208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20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4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34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34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4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4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4F8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F82083"/>
    <w:pPr>
      <w:spacing w:after="200" w:line="276" w:lineRule="auto"/>
    </w:pPr>
    <w:rPr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F8208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734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pPr>
      <w:spacing w:after="0" w:line="240" w:lineRule="auto"/>
      <w:ind w:left="5520"/>
      <w:jc w:val="both"/>
    </w:pPr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F8208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734F8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Стиль"/>
    <w:basedOn w:val="TableNormal1"/>
    <w:uiPriority w:val="99"/>
    <w:rsid w:val="00F8208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a0">
    <w:name w:val="Таблица обычный"/>
    <w:basedOn w:val="Normal"/>
    <w:link w:val="a1"/>
    <w:uiPriority w:val="99"/>
    <w:rsid w:val="00100A39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1">
    <w:name w:val="Таблица обычный Знак"/>
    <w:link w:val="a0"/>
    <w:uiPriority w:val="99"/>
    <w:locked/>
    <w:rsid w:val="00100A39"/>
    <w:rPr>
      <w:rFonts w:ascii="Times New Roman" w:hAnsi="Times New Roman"/>
      <w:sz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430</Words>
  <Characters>2455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Liliia</dc:creator>
  <cp:keywords/>
  <dc:description/>
  <cp:lastModifiedBy>E</cp:lastModifiedBy>
  <cp:revision>5</cp:revision>
  <dcterms:created xsi:type="dcterms:W3CDTF">2020-10-28T09:01:00Z</dcterms:created>
  <dcterms:modified xsi:type="dcterms:W3CDTF">2020-10-30T11:57:00Z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0x0101009A3479B2A92B514C833F34D03F68A491</vt:lpwstr>
  </property>
</Properties>
</file>